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explained (see ch. xiii. 34) to he,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mutual</w:t>
        <w:br w:type="textWrapping"/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that, after His example of</w:t>
        <w:br w:type="textWrapping"/>
        <w:t xml:space="preserve">Love to them. 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A difficulty has</w:t>
        <w:br w:type="textWrapping"/>
        <w:t xml:space="preserve">been unnecessarily found in this verse,</w:t>
        <w:br w:type="textWrapping"/>
        <w:t xml:space="preserve">because St. Paul, Rom. v. 6 ff, cites it as</w:t>
        <w:br w:type="textWrapping"/>
        <w:t xml:space="preserve">a nobler instance of love, that Christ died</w:t>
        <w:br w:type="textWrapping"/>
        <w:t xml:space="preserve">for 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when we were 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manifestly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example is from common</w:t>
        <w:br w:type="textWrapping"/>
        <w:t xml:space="preserve">life, in which if a man did Jay down his</w:t>
        <w:br w:type="textWrapping"/>
        <w:t xml:space="preserve">life, it would naturally be for his friends;</w:t>
        <w:br w:type="textWrapping"/>
        <w:t xml:space="preserve">and would be, and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ited as, the greatest</w:t>
        <w:br w:type="textWrapping"/>
        <w:t xml:space="preserve">example of love. Nor again is there any</w:t>
        <w:br w:type="textWrapping"/>
        <w:t xml:space="preserve">doctrinal difficulty: our Lord does not</w:t>
        <w:br w:type="textWrapping"/>
        <w:t xml:space="preserve">assert of himself, that He laid down his</w:t>
        <w:br w:type="textWrapping"/>
        <w:t xml:space="preserve">life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his friends (as defined in the</w:t>
        <w:br w:type="textWrapping"/>
        <w:t xml:space="preserve">next verse), but puts forward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his Love as a great and a practical example for his followers. His own great</w:t>
        <w:br w:type="textWrapping"/>
        <w:t xml:space="preserve">Sacrifice of Himself lies in the background of this verse; but only in the</w:t>
        <w:br w:type="textWrapping"/>
        <w:t xml:space="preserve">background, and with but one side of it</w:t>
        <w:br w:type="textWrapping"/>
        <w:t xml:space="preserve">seen, viz. his Love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1 Tim.</w:t>
        <w:br w:type="textWrapping"/>
        <w:t xml:space="preserve">iv. 10, and compare 1 John iii. 16.</w:t>
        <w:br w:type="textWrapping"/>
      </w:r>
    </w:p>
    <w:p w:rsidR="00000000" w:rsidDel="00000000" w:rsidP="00000000" w:rsidRDefault="00000000" w:rsidRPr="00000000" w14:paraId="00000004">
      <w:pPr>
        <w:spacing w:after="20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parallel to ver. 10,—and like it,</w:t>
        <w:br w:type="textWrapping"/>
        <w:t xml:space="preserve">guarded, in vv. 15, 16, 17, from legal</w:t>
        <w:br w:type="textWrapping"/>
        <w:t xml:space="preserve">misinterpretation. 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Spoken, by</w:t>
        <w:br w:type="textWrapping"/>
        <w:t xml:space="preserve">anticipation, of the state in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He</w:t>
        <w:br w:type="textWrapping"/>
        <w:t xml:space="preserve">would place them under the Spirit. Nor</w:t>
        <w:br w:type="textWrapping"/>
        <w:t xml:space="preserve">is there 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discrepancy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eh. xiii. 13,</w:t>
        <w:br w:type="textWrapping"/>
        <w:t xml:space="preserve">16, and ver. 20 here, which are also</w:t>
        <w:br w:type="textWrapping"/>
        <w:t xml:space="preserve">spoken of their future condition: for in</w:t>
        <w:br w:type="textWrapping"/>
        <w:t xml:space="preserve">that sense both relations subsist together.</w:t>
        <w:br w:type="textWrapping"/>
        <w:t xml:space="preserve">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lower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word rendered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(signifying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  <w:t xml:space="preserve">which is brought out in this verse. The</w:t>
        <w:br w:type="textWrapping"/>
        <w:t xml:space="preserve">anticipatory character of the saying is</w:t>
        <w:br w:type="textWrapping"/>
        <w:t xml:space="preserve">clearly shewn in the words,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Knoweth not</w:t>
        <w:br w:type="textWrapping"/>
        <w:t xml:space="preserve">what his lord doeth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for this was precisely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condition, but was</w:t>
        <w:br w:type="textWrapping"/>
        <w:t xml:space="preserve">after His Ascension changed into light and</w:t>
        <w:br w:type="textWrapping"/>
        <w:t xml:space="preserve">knowledge.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made known unto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again the allusion must be (see chi.</w:t>
        <w:br w:type="textWrapping"/>
        <w:t xml:space="preserve">xvi. 12) to their future state under the</w:t>
        <w:br w:type="textWrapping"/>
        <w:t xml:space="preserve">dispensation of the Spirit: nay, even to</w:t>
        <w:br w:type="textWrapping"/>
        <w:t xml:space="preserve">the fulness and completion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Augustine remarks;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ompare the confession of</w:t>
        <w:br w:type="textWrapping"/>
        <w:t xml:space="preserve">one of the greatest. Apostles, 1 Cor.</w:t>
        <w:br w:type="textWrapping"/>
        <w:t xml:space="preserve">10. “As we look for immortality of the</w:t>
        <w:br w:type="textWrapping"/>
        <w:t xml:space="preserve">flesh and salvation of the soul in the future,</w:t>
        <w:br w:type="textWrapping"/>
        <w:t xml:space="preserve">although, having received the pledge of</w:t>
        <w:br w:type="textWrapping"/>
        <w:t xml:space="preserve">both, we are said to be already saved: so</w:t>
        <w:br w:type="textWrapping"/>
        <w:t xml:space="preserve">we should hope for in the future the</w:t>
        <w:br w:type="textWrapping"/>
        <w:t xml:space="preserve">knowledge of all things which the Only-</w:t>
        <w:br w:type="textWrapping"/>
        <w:t xml:space="preserve">begotten has heard from the Father,</w:t>
        <w:br w:type="textWrapping"/>
        <w:t xml:space="preserve">although Christ says He has already made</w:t>
        <w:br w:type="textWrapping"/>
        <w:t xml:space="preserve">them known to us.” Augustine.</w:t>
        <w:br w:type="textWrapping"/>
      </w:r>
    </w:p>
    <w:p w:rsidR="00000000" w:rsidDel="00000000" w:rsidP="00000000" w:rsidRDefault="00000000" w:rsidRPr="00000000" w14:paraId="00000009">
      <w:pPr>
        <w:spacing w:after="20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See 1 John iv.10, 19. Further proof</w:t>
        <w:br w:type="textWrapping"/>
        <w:t xml:space="preserve">of His love, in his choosing His, when they</w:t>
        <w:br w:type="textWrapping"/>
        <w:t xml:space="preserve">had not chosen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appointed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Acts xili, 47: 1 Thess. v. 9, and reff.</w:t>
        <w:br w:type="textWrapping"/>
        <w:t xml:space="preserve">Chrysostom and others explain it as meaning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reference to the similitude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 parable seems</w:t>
        <w:br w:type="textWrapping"/>
        <w:t xml:space="preserve">to be no further returned to than in the</w:t>
        <w:br w:type="textWrapping"/>
        <w:t xml:space="preserve">allusion implied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bearing 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A, V., is objectionable, as conveying a wrong idea,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appointing to</w:t>
        <w:br w:type="textWrapping"/>
        <w:t xml:space="preserve">the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not here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should go and bear 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word go probably merely expresses</w:t>
        <w:br w:type="textWrapping"/>
        <w:t xml:space="preserve">(see Matt. xvili. 15; xix. 21, and Luke</w:t>
        <w:br w:type="textWrapping"/>
        <w:t xml:space="preserve">viii. 14) the activity of living and developing principle; not the missionary</w:t>
        <w:br w:type="textWrapping"/>
        <w:t xml:space="preserve">journeys of the Apostles, as some have</w:t>
        <w:br w:type="textWrapping"/>
        <w:t xml:space="preserve">explained it. The fruit is not the Church,</w:t>
        <w:br w:type="textWrapping"/>
        <w:t xml:space="preserve">to be founded by the Apostles, and endure ;—this is evident, for here the fruit</w:t>
        <w:br w:type="textWrapping"/>
        <w:t xml:space="preserve">is spoken of with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ard their ripening into the full stature of</w:t>
        <w:br w:type="textWrapping"/>
        <w:t xml:space="preserve">Christ. Much of their fruit will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necessarily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N4DjOM5AfPdchxNmwBm3wRIRag==">AMUW2mUED8kCI6hlRhEOmgXXlpjxPkLbVrghNW+jD2+tINZ+diepf0KKsd5q/UpjFbMR4eOBD0+E5hncX1evsQNLuvcVLiar3+KVj+0tw5uN9tK5Nag2mNY=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