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Son’s name, ch. xiv. 26), and bringing in</w:t>
        <w:br w:type="textWrapping"/>
        <w:t xml:space="preserve">the dispensation of the Spirit ;—the second,</w:t>
        <w:br w:type="textWrapping"/>
        <w:t xml:space="preserve">in strictness of theological meaning, of the</w:t>
        <w:br w:type="textWrapping"/>
        <w:t xml:space="preserve">essential nature of the Spirit Himself, that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proceedeth forth from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(And if from the Father, from the Son</w:t>
        <w:br w:type="textWrapping"/>
        <w:t xml:space="preserve">also,—see ch. xvi. 15, and those passages</w:t>
        <w:br w:type="textWrapping"/>
        <w:t xml:space="preserve">where the Spirit is said to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Spirit,</w:t>
        <w:br w:type="textWrapping"/>
        <w:t xml:space="preserve">Rom. viii. 9; Gal. iv. 6; Phil. i. 19;1 Pet.</w:t>
        <w:br w:type="textWrapping"/>
        <w:t xml:space="preserve">i. 11, also Rev. xxii. 1.) Perhaps however</w:t>
        <w:br w:type="textWrapping"/>
        <w:t xml:space="preserve">it is better to take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spoken</w:t>
        <w:br w:type="textWrapping"/>
        <w:t xml:space="preserve">with reference to the mediatorial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dispensation. Then the former description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parallel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latter, and the procession</w:t>
        <w:br w:type="textWrapping"/>
        <w:t xml:space="preserve">from the Father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sending by the Son.</w:t>
        <w:br w:type="textWrapping"/>
        <w:t xml:space="preserve">At all events,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passage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Beza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remarks, cannot be alleged either one way</w:t>
        <w:br w:type="textWrapping"/>
        <w:t xml:space="preserve">or the other in the controversy with the</w:t>
        <w:br w:type="textWrapping"/>
        <w:t xml:space="preserve">Greek church, which maintains that the</w:t>
        <w:br w:type="textWrapping"/>
        <w:t xml:space="preserve">Holy Spirit proceeds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Father</w:t>
        <w:br w:type="textWrapping"/>
        <w:t xml:space="preserve">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as we (see Nicene Creed)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</w:t>
        <w:br w:type="textWrapping"/>
        <w:t xml:space="preserve">the Father and 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disciples are not, as some have supposed,</w:t>
        <w:br w:type="textWrapping"/>
        <w:t xml:space="preserve">here mentioned as witnesses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separate from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working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Holy Spirit. The</w:t>
        <w:br w:type="textWrapping"/>
        <w:t xml:space="preserve">witness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and 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the Spirit</w:t>
        <w:br w:type="textWrapping"/>
        <w:t xml:space="preserve">will witness in and by them: the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introductory clause,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when the Comforter is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belongs to the whole; see Luke</w:t>
        <w:br w:type="textWrapping"/>
        <w:t xml:space="preserve">xxiv. 48, 49, where this is strongly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expressed. This verse alludes to the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historical witness which the Holy Ghost in</w:t>
        <w:br w:type="textWrapping"/>
        <w:t xml:space="preserve">the ministers and eye-witnesses of the</w:t>
        <w:br w:type="textWrapping"/>
        <w:t xml:space="preserve">word, Luke i. 2, should enable them to</w:t>
        <w:br w:type="textWrapping"/>
        <w:t xml:space="preserve">give,—which forms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human 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this</w:t>
        <w:br w:type="textWrapping"/>
        <w:t xml:space="preserve">great testimony of the Spirit of truth, and</w:t>
        <w:br w:type="textWrapping"/>
        <w:t xml:space="preserve">OF WHICH OUR INSPIRED GOSPELS ARE</w:t>
        <w:br w:type="textWrapping"/>
        <w:t xml:space="preserve">THE SUMMARY: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Divine 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being,</w:t>
        <w:br w:type="textWrapping"/>
        <w:t xml:space="preserve">His own indwelling testimony in the life</w:t>
        <w:br w:type="textWrapping"/>
        <w:t xml:space="preserve">and heart of every believer in all time.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both the one and the other are given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self-same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 of them</w:t>
        <w:br w:type="textWrapping"/>
        <w:t xml:space="preserve">inconsistent with, or superseding the other.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Luke i.</w:t>
        <w:br w:type="textWrapping"/>
        <w:t xml:space="preserve">2, and in the sense of Acts i. 21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 from</w:t>
        <w:br w:type="textWrapping"/>
        <w:t xml:space="preserve">the beginning of the Lord’s ministry,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present tenses set forth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onnexion</w:t>
        <w:br w:type="textWrapping"/>
        <w:t xml:space="preserve">between the being (continuing to be)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witnesses, and the being (having been throughout) companions of the Lord in His ministry.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we have in 1 John iii. 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devil sinneth 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promise of the</w:t>
        <w:br w:type="textWrapping"/>
        <w:t xml:space="preserve">Comforter expanded in its 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herein, 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conditions of His</w:t>
        <w:br w:type="textWrapping"/>
        <w:t xml:space="preserve">coming and His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ch. xv.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27,—not only the</w:t>
        <w:br w:type="textWrapping"/>
        <w:t xml:space="preserve">warning of the hatred of the world, but</w:t>
        <w:br w:type="textWrapping"/>
        <w:t xml:space="preserve">the promise of the testifying Spirit (Stier).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putting out of the Synagogue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ix. 22; xii. 42.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introduces a yet more grievous</w:t>
        <w:br w:type="textWrapping"/>
        <w:t xml:space="preserve">and decisive proof of their nature.</w:t>
        <w:br w:type="textWrapping"/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offereth a service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verb in the original is the technical word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offering a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Rabbinical</w:t>
        <w:br w:type="textWrapping"/>
        <w:t xml:space="preserve">books say that “he who sheds the blood</w:t>
        <w:br w:type="textWrapping"/>
        <w:t xml:space="preserve">of an infidel is as one offering a sacrifice.”</w:t>
        <w:br w:type="textWrapping"/>
        <w:t xml:space="preserve">See 1 Cor. iv. 13, and note.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Luke xxiii. 34;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21; Acts iii. 17;</w:t>
        <w:br w:type="textWrapping"/>
        <w:t xml:space="preserve">and 1 Tim. i. 13.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indicates no contrast, but only breaking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 the mournful details, and passing</w:t>
        <w:br w:type="textWrapping"/>
        <w:t xml:space="preserve">back to the subject of ver. 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</w:t>
        <w:br w:type="textWrapping"/>
        <w:t xml:space="preserve">to seek any contrast, it will be between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non-knowledge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world, and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church. The</w:t>
        <w:br w:type="textWrapping"/>
        <w:t xml:space="preserve">one know not what they are doing: the</w:t>
        <w:br w:type="textWrapping"/>
        <w:t xml:space="preserve">other know well what they are suffering.</w:t>
        <w:br w:type="textWrapping"/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the time of their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R1oXH4h9gC1QqO6af80J2KAo+w==">AMUW2mV8050DBvjHf+3A8xyrMcQX3j24Q76db2kH7RORcnHy8nJZTGufP5S5CKj6BviRk+2Aatl3cDDbgGrbOe6ZtwvQOWHMWF3bj7Hd1PoyQIm6rnG3n54=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