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vv. 69–75. </w:t>
        <w:br w:type="textWrapping"/>
        <w:br w:type="textWrapping"/>
        <w:t xml:space="preserve">This first denial was to</w:t>
        <w:br w:type="textWrapping"/>
        <w:t xml:space="preserve">all appearance rashly and almost inadvertently </w:t>
        <w:br w:type="textWrapping"/>
        <w:t xml:space="preserve">made, from a mere feeling of</w:t>
        <w:br w:type="textWrapping"/>
        <w:t xml:space="preserve">shame. Lücke suggests that Peter may</w:t>
        <w:br w:type="textWrapping"/>
        <w:t xml:space="preserve">have set himself among the servants of the</w:t>
        <w:br w:type="textWrapping"/>
        <w:t xml:space="preserve">High Priest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bear out his denial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</w:t>
        <w:br w:type="textWrapping"/>
        <w:t xml:space="preserve">question,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Art thou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of this</w:t>
        <w:br w:type="textWrapping"/>
        <w:t xml:space="preserve">man’s disciples?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(ver. 25,) as Luthardt</w:t>
        <w:br w:type="textWrapping"/>
        <w:t xml:space="preserve">remarks, implies that the other disciple</w:t>
        <w:br w:type="textWrapping"/>
        <w:t xml:space="preserve">had already been recognized as a follower</w:t>
        <w:br w:type="textWrapping"/>
        <w:t xml:space="preserve">of Jesus, and had escaped annoyance.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preliminary enquiry seems to</w:t>
        <w:br w:type="textWrapping"/>
        <w:t xml:space="preserve">have had for its object to induce the</w:t>
        <w:br w:type="textWrapping"/>
        <w:t xml:space="preserve">prisoner to criminate himself, and furnish</w:t>
        <w:br w:type="textWrapping"/>
        <w:t xml:space="preserve">matter of accusation before the Sanhedrim.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his disciples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His party, or adherents, </w:t>
        <w:br w:type="textWrapping"/>
        <w:t xml:space="preserve">as the High Priest would understand </w:t>
        <w:br w:type="textWrapping"/>
        <w:t xml:space="preserve">His disciples to be; how many, and</w:t>
        <w:br w:type="textWrapping"/>
        <w:t xml:space="preserve">who they were, and with what object</w:t>
        <w:br w:type="textWrapping"/>
        <w:t xml:space="preserve">gathered together ;—and what His customary </w:t>
        <w:br w:type="textWrapping"/>
        <w:t xml:space="preserve">teaching of them had been.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Jesus says nothing : compare vv. 8, 9.</w:t>
        <w:br w:type="textWrapping"/>
        <w:t xml:space="preserve">But He substitutes for them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to which He had spoken plainly.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emphatic: as if it had been said,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am one, who...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plainly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(referring </w:t>
        <w:br w:type="textWrapping"/>
        <w:t xml:space="preserve">to the character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things</w:t>
        <w:br w:type="textWrapping"/>
        <w:t xml:space="preserve">said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):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openly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(referring to the outward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circumstances under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they</w:t>
        <w:br w:type="textWrapping"/>
        <w:t xml:space="preserve">were s#id), which the word will not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hear.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is equivalent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 perhaps rather,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  <w:br w:type="textWrapping"/>
        <w:t xml:space="preserve">who were there to hear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secret</w:t>
        <w:br w:type="textWrapping"/>
        <w:t xml:space="preserve">spake I 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Stier thinks there was</w:t>
        <w:br w:type="textWrapping"/>
        <w:t xml:space="preserve">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these words to Isa. xlv. 19;</w:t>
        <w:br w:type="textWrapping"/>
        <w:t xml:space="preserve">xlviii. 16,—in the last of which places the</w:t>
        <w:br w:type="textWrapping"/>
        <w:t xml:space="preserve">Messiah is speaking.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ch. v.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1, which appears to have been a legal</w:t>
        <w:br w:type="textWrapping"/>
        <w:t xml:space="preserve">maxim.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Our</w:t>
        <w:br w:type="textWrapping"/>
        <w:t xml:space="preserve">Lord appeals to persons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court, pointing at or otherwise designating</w:t>
        <w:br w:type="textWrapping"/>
        <w:t xml:space="preserve">them.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A.V.,</w:t>
        <w:br w:type="textWrapping"/>
        <w:t xml:space="preserve">makes it appear as if He meant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</w:t>
        <w:br w:type="textWrapping"/>
        <w:t xml:space="preserve">which heard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Bengel.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officers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mentioned in ch. vii. 46 may have been</w:t>
        <w:br w:type="textWrapping"/>
        <w:t xml:space="preserve">present : see next verse.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  <w:t xml:space="preserve">Acts xxiii. 2.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of the officers</w:t>
        <w:br w:type="textWrapping"/>
        <w:t xml:space="preserve">which stood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was probably</w:t>
        <w:br w:type="textWrapping"/>
        <w:t xml:space="preserve">one of the band who took Jesus, and</w:t>
        <w:br w:type="textWrapping"/>
        <w:t xml:space="preserve">had brought Him hither. It is not</w:t>
        <w:br w:type="textWrapping"/>
        <w:t xml:space="preserve">quite certain whether the word here</w:t>
        <w:br w:type="textWrapping"/>
        <w:t xml:space="preserve">used implies a blow with the hand,</w:t>
        <w:br w:type="textWrapping"/>
        <w:t xml:space="preserve">or with a staff. They had staves, and</w:t>
        <w:br w:type="textWrapping"/>
        <w:t xml:space="preserve">perhaps thus used them: see note on</w:t>
        <w:br w:type="textWrapping"/>
        <w:t xml:space="preserve">Matt. xxvi. 67. This blow was a signal</w:t>
        <w:br w:type="textWrapping"/>
        <w:t xml:space="preserve">for the indignities which followed.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bear 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 legal way.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if well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latter supposition has the</w:t>
        <w:br w:type="textWrapping"/>
        <w:t xml:space="preserve">force of an assertion, that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well.</w:t>
        <w:br w:type="textWrapping"/>
        <w:t xml:space="preserve">It has been often and well observed, that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/0wIniWeBuos+ScsFAD0IUpOpw==">CgMxLjA4AHIhMW9TMk1ZT01JWmFtX1F4MGpObnVyTkkyaDFKV2x3Xzd2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