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follow thou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directs his view along</w:t>
        <w:br w:type="textWrapping"/>
        <w:t xml:space="preserve">that course of duty and suffering, which</w:t>
        <w:br w:type="textWrapping"/>
        <w:t xml:space="preserve">was appointed for him by his divine Master.</w:t>
        <w:br w:type="textWrapping"/>
        <w:t xml:space="preserve">In the original, both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in</w:t>
        <w:br w:type="textWrapping"/>
        <w:t xml:space="preserve">emphatic positions: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appointed lot</w:t>
        <w:br w:type="textWrapping"/>
        <w:t xml:space="preserve">is no element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onward course: it 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follow.” </w:t>
        <w:br w:type="textWrapping"/>
        <w:br w:type="textWrapping"/>
        <w:t xml:space="preserve">On the</w:t>
        <w:br w:type="textWrapping"/>
        <w:t xml:space="preserve">words,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I will that he tarry till I come</w:t>
        <w:br w:type="textWrapping"/>
        <w:t xml:space="preserve">....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three opinions have been held (for</w:t>
        <w:br w:type="textWrapping"/>
        <w:t xml:space="preserve">that which refers the words to John’s</w:t>
        <w:br w:type="textWrapping"/>
        <w:t xml:space="preserve">remaining where he then was, on the shore,</w:t>
        <w:br w:type="textWrapping"/>
        <w:t xml:space="preserve">till the Lord returned from His colloquy</w:t>
        <w:br w:type="textWrapping"/>
        <w:t xml:space="preserve">with Peter, is not worth more than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cursory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mention): (1) that of Augustine and</w:t>
        <w:br w:type="textWrapping"/>
        <w:t xml:space="preserve">others (it being allowed on all hands, that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tarry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means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remain in this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abideth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same word in the original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h. xii. 34), ‘If I will that he remain till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fetch him,’ i. e. by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natural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But this is frigid, and besides inapplicable</w:t>
        <w:br w:type="textWrapping"/>
        <w:t xml:space="preserve">here. Peter’s death, although by the hands</w:t>
        <w:br w:type="textWrapping"/>
        <w:t xml:space="preserve">of another, was just as much the Lord’s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coming for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John’s, and there</w:t>
        <w:br w:type="textWrapping"/>
        <w:t xml:space="preserve">would thus be no contrast. (2) That</w:t>
        <w:br w:type="textWrapping"/>
        <w:t xml:space="preserve">that ‘coming of the Lord’ is meant,</w:t>
        <w:br w:type="textWrapping"/>
        <w:t xml:space="preserve">which is so often in the three Gospels</w:t>
        <w:br w:type="textWrapping"/>
        <w:t xml:space="preserve">alluded to (see especially notes on Matt.</w:t>
        <w:br w:type="textWrapping"/>
        <w:t xml:space="preserve">xxiv.), viz. the establishment in full of the</w:t>
        <w:br w:type="textWrapping"/>
        <w:t xml:space="preserve">dispensation of the Kingdom by the </w:t>
        <w:br w:type="textWrapping"/>
        <w:t xml:space="preserve">destruction of the nation and temple of the</w:t>
        <w:br w:type="textWrapping"/>
        <w:t xml:space="preserve">Jews, This is the view of some mentioned</w:t>
        <w:br w:type="textWrapping"/>
        <w:t xml:space="preserve">by Theophylact, of Bengel, and others,—</w:t>
        <w:br w:type="textWrapping"/>
        <w:t xml:space="preserve">and is upheld by the similar place, Matt.</w:t>
        <w:br w:type="textWrapping"/>
        <w:t xml:space="preserve">xvi. 28. (3) That the Lord here puts a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ase only,—‘Even should I will that he</w:t>
        <w:br w:type="textWrapping"/>
        <w:t xml:space="preserve">remain upon earth till My last coming—</w:t>
        <w:br w:type="textWrapping"/>
        <w:t xml:space="preserve">what would that be to thee?’ This view</w:t>
        <w:br w:type="textWrapping"/>
        <w:t xml:space="preserve">is upheld by Trench; but I think must</w:t>
        <w:br w:type="textWrapping"/>
        <w:t xml:space="preserve">be rejected on maturer consideration of</w:t>
        <w:br w:type="textWrapping"/>
        <w:t xml:space="preserve">the character of the words of our Lord,</w:t>
        <w:br w:type="textWrapping"/>
        <w:t xml:space="preserve">in whose mouth such a mere hypothetical</w:t>
        <w:br w:type="textWrapping"/>
        <w:t xml:space="preserve">saying would be strangely incongruous,</w:t>
        <w:br w:type="textWrapping"/>
        <w:t xml:space="preserve">especially in these last solemn days of</w:t>
        <w:br w:type="textWrapping"/>
        <w:t xml:space="preserve">His presence on earth. </w:t>
        <w:br w:type="textWrapping"/>
        <w:br w:type="textWrapping"/>
        <w:t xml:space="preserve">The second</w:t>
        <w:br w:type="textWrapping"/>
        <w:t xml:space="preserve">view seems then to remain, and I adopt</w:t>
        <w:br w:type="textWrapping"/>
        <w:t xml:space="preserve">it with some qualification. At the </w:t>
        <w:br w:type="textWrapping"/>
        <w:t xml:space="preserve">destruction of Jerusalem began that mighty</w:t>
        <w:br w:type="textWrapping"/>
        <w:t xml:space="preserve">series of events of which the Apocalypse</w:t>
        <w:br w:type="textWrapping"/>
        <w:t xml:space="preserve">is the prophetic record, and which is in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complex known as the 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</w:t>
        <w:br w:type="textWrapping"/>
        <w:t xml:space="preserve">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ending, as it shall, with His</w:t>
        <w:br w:type="textWrapping"/>
        <w:t xml:space="preserve">glorious and personal Advent. This the</w:t>
        <w:br w:type="textWrapping"/>
        <w:t xml:space="preserve">beloved Apostle alone lived to see, </w:t>
        <w:br w:type="textWrapping"/>
        <w:t xml:space="preserve">according to ancient and undoubted </w:t>
        <w:br w:type="textWrapping"/>
        <w:t xml:space="preserve">tradition.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brethren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an expression </w:t>
        <w:br w:type="textWrapping"/>
        <w:t xml:space="preserve">of later date than any usually oc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urring </w:t>
        <w:br w:type="textWrapping"/>
        <w:t xml:space="preserve">in the Gospels. It is however</w:t>
        <w:br w:type="textWrapping"/>
        <w:t xml:space="preserve">frequent in the Acts: e.g. ix.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0: xi. 1,</w:t>
        <w:br w:type="textWrapping"/>
        <w:t xml:space="preserve">12: xii. 17: xv. 1,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  <w:br w:type="textWrapping"/>
        <w:br w:type="textWrapping"/>
        <w:t xml:space="preserve">The followi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</w:t>
        <w:br w:type="textWrapping"/>
        <w:t xml:space="preserve">words are to me a proof that this chapter</w:t>
        <w:br w:type="textWrapping"/>
        <w:t xml:space="preserve">was written during St. John’s lifetime. If</w:t>
        <w:br w:type="textWrapping"/>
        <w:t xml:space="preserve">written by another person after St. John’s</w:t>
        <w:br w:type="textWrapping"/>
        <w:t xml:space="preserve">death, we should certainly, in the </w:t>
        <w:br w:type="textWrapping"/>
        <w:t xml:space="preserve">refutation of this error, haye read, that St. John</w:t>
        <w:br w:type="textWrapping"/>
        <w:t xml:space="preserve">was dead and buried, as we do read of</w:t>
        <w:br w:type="textWrapping"/>
        <w:t xml:space="preserve">David in Acts ii. 29. </w:t>
        <w:br w:type="textWrapping"/>
        <w:br w:type="textWrapping"/>
        <w:t xml:space="preserve">This notion of</w:t>
        <w:br w:type="textWrapping"/>
        <w:t xml:space="preserve">St. John’s not having died, was prevalent in</w:t>
        <w:br w:type="textWrapping"/>
        <w:t xml:space="preserve">the early Church,—so that Augustine himself </w:t>
        <w:br w:type="textWrapping"/>
        <w:t xml:space="preserve">seems almost to credit the story of the</w:t>
        <w:br w:type="textWrapping"/>
        <w:t xml:space="preserve">earth of St. John’s tomb heaving with his</w:t>
        <w:br w:type="textWrapping"/>
        <w:t xml:space="preserve">breath. ‘The English sect of the “seekers,” </w:t>
        <w:br w:type="textWrapping"/>
        <w:t xml:space="preserve">under Cromwell, expected the reappearance </w:t>
        <w:br w:type="textWrapping"/>
        <w:t xml:space="preserve">of the Apostle as the forerunner</w:t>
        <w:br w:type="textWrapping"/>
        <w:t xml:space="preserve">of the coming of Christ.’ Tholuck. The</w:t>
        <w:br w:type="textWrapping"/>
        <w:t xml:space="preserve">simple recapitulation of the words of the</w:t>
        <w:br w:type="textWrapping"/>
        <w:t xml:space="preserve">Lord shews that their sense remained dark</w:t>
        <w:br w:type="textWrapping"/>
        <w:t xml:space="preserve">to the writer, who ventured on no explanation </w:t>
        <w:br w:type="textWrapping"/>
        <w:t xml:space="preserve">of them ; merely setting his own</w:t>
        <w:br w:type="textWrapping"/>
        <w:t xml:space="preserve">side of the apostolic duty over against</w:t>
        <w:br w:type="textWrapping"/>
        <w:t xml:space="preserve">that of Peter, who probably had already</w:t>
        <w:br w:type="textWrapping"/>
        <w:t xml:space="preserve">by following his Master through the Cross,</w:t>
        <w:br w:type="textWrapping"/>
        <w:t xml:space="preserve">glorified God, whereas the beloved disciple</w:t>
        <w:br w:type="textWrapping"/>
        <w:t xml:space="preserve">was, whatever that meant, to tarry till</w:t>
        <w:br w:type="textWrapping"/>
        <w:t xml:space="preserve">He came.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24, 25.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IDENTIFICATION OF THE AUTHOR, 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CONCLUSION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 remarks</w:t>
        <w:br w:type="textWrapping"/>
        <w:t xml:space="preserve">below.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certainly refer to the whole Gospel, not</w:t>
        <w:br w:type="textWrapping"/>
        <w:t xml:space="preserve">merely to the Appendix—and are quite in</w:t>
        <w:br w:type="textWrapping"/>
        <w:t xml:space="preserve">St. John’s style:—see ch, xii. 41; xx. 31.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purpose of this verse</w:t>
        <w:br w:type="textWrapping"/>
        <w:t xml:space="preserve">seems to he to assert and vindicate the</w:t>
        <w:br w:type="textWrapping"/>
        <w:t xml:space="preserve">fragmentary character of the Gospel, considered </w:t>
        <w:br w:type="textWrapping"/>
        <w:t xml:space="preserve">merely as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historical narrative :</w:t>
        <w:br w:type="textWrapping"/>
        <w:t xml:space="preserve">—for that the doings of the Lord were so</w:t>
        <w:br w:type="textWrapping"/>
        <w:t xml:space="preserve">many,—His life so rich in matter of </w:t>
        <w:br w:type="textWrapping"/>
        <w:t xml:space="preserve">record,—that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a popular hyperbole, we can</w:t>
        <w:br w:type="textWrapping"/>
        <w:t xml:space="preserve">hardly imagine the world containing them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PF711tudq6XuJLOQApa29f2/fQ==">CgMxLjA4AHIhMTlObXUxbHJlc0NCNHM2d3pPaHRtY1B3dVZwWkVzTC0y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