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our English text,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servants and handmaids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they shall prophesy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are not in the LXX nor in the</w:t>
        <w:br w:type="textWrapping"/>
        <w:t xml:space="preserve">Hebrew text.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beneath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not in the LXX,</w:t>
        <w:br w:type="textWrapping"/>
        <w:t xml:space="preserve">nor in the Hebrew text.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blood, and</w:t>
        <w:br w:type="textWrapping"/>
        <w:t xml:space="preserve">fire,....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bloodshed and wasting by</w:t>
        <w:br w:type="textWrapping"/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as commonly interpreted :—not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devastations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prodigies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foretold :—</w:t>
        <w:br w:type="textWrapping"/>
        <w:t xml:space="preserve">bloody and fiery appear: —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pillars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smoke, as in the Hebrew.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Matt. 29.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the... day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coming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which interpretation would run counter to</w:t>
        <w:br w:type="textWrapping"/>
        <w:t xml:space="preserve">the whole tenor of the Apostle’s application</w:t>
        <w:br w:type="textWrapping"/>
        <w:t xml:space="preserve">of the prophecy but clearly,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second</w:t>
        <w:br w:type="textWrapping"/>
        <w:t xml:space="preserve">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regarded in prophetic language as</w:t>
        <w:br w:type="textWrapping"/>
        <w:t xml:space="preserve">following close upon the outpouring of the</w:t>
        <w:br w:type="textWrapping"/>
        <w:t xml:space="preserve">Spirit, because it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next great event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the divine arrangements. — The Apostles</w:t>
        <w:br w:type="textWrapping"/>
        <w:t xml:space="preserve">probably expected this coming very soon</w:t>
        <w:br w:type="textWrapping"/>
        <w:t xml:space="preserve">(see note on Rom. xiii. 11); but this did</w:t>
        <w:br w:type="textWrapping"/>
        <w:t xml:space="preserve">not at all affect the accuracy of their </w:t>
        <w:br w:type="textWrapping"/>
        <w:t xml:space="preserve">expressions respecting it. Their days witnessed </w:t>
        <w:br w:type="textWrapping"/>
        <w:t xml:space="preserve">the Pentecostal effusion, which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beginning of the signs of the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then</w:t>
        <w:br w:type="textWrapping"/>
        <w:t xml:space="preserve">follows the period, KNOWN TO THE FATHER</w:t>
        <w:br w:type="textWrapping"/>
        <w:t xml:space="preserve">ONLY, of waiting—the Church for her Lord,</w:t>
        <w:br w:type="textWrapping"/>
        <w:t xml:space="preserve">—the Lord Himself till all things shall</w:t>
        <w:br w:type="textWrapping"/>
        <w:t xml:space="preserve">haye been put under His feet,—and then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signs shall be renewed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day of</w:t>
        <w:br w:type="textWrapping"/>
        <w:t xml:space="preserve">the Lord shall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Meantime, and in</w:t>
        <w:br w:type="textWrapping"/>
        <w:t xml:space="preserve">the midst of these signs, the covenant of</w:t>
        <w:br w:type="textWrapping"/>
        <w:t xml:space="preserve">the spiritual dispensation is, ver. 21—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shall call on the name of the</w:t>
        <w:br w:type="textWrapping"/>
        <w:t xml:space="preserve">Lord, shall be saved.’ The gates of God’s</w:t>
        <w:br w:type="textWrapping"/>
        <w:t xml:space="preserve">mercy are thrown open in Christ to all</w:t>
        <w:br w:type="textWrapping"/>
        <w:t xml:space="preserve">people :—no barrier is placed,—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union</w:t>
        <w:br w:type="textWrapping"/>
        <w:t xml:space="preserve">with any external association or succession</w:t>
        <w:br w:type="textWrapping"/>
        <w:t xml:space="preserve">required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the promise is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whosoever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which individual</w:t>
        <w:br w:type="textWrapping"/>
        <w:t xml:space="preserve">universality, though here, by the nature of</w:t>
        <w:br w:type="textWrapping"/>
        <w:t xml:space="preserve">the circumstances, spoken within the limits</w:t>
        <w:br w:type="textWrapping"/>
        <w:t xml:space="preserve">of the outward Israel, is afterwards as </w:t>
        <w:br w:type="textWrapping"/>
        <w:t xml:space="preserve">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pressly asserted of Jew and Gentile, Rom.</w:t>
        <w:br w:type="textWrapping"/>
        <w:t xml:space="preserve">i. 17, where see note.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Ye men of</w:t>
        <w:br w:type="textWrapping"/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address binds all the hearers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term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one reminds them of</w:t>
        <w:br w:type="textWrapping"/>
        <w:t xml:space="preserve">their covenant relation with God: comp.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house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36.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Nazareth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title does not here seem</w:t>
        <w:br w:type="textWrapping"/>
        <w:t xml:space="preserve">to be emphatically used by way of contrast</w:t>
        <w:br w:type="textWrapping"/>
        <w:t xml:space="preserve">to what follows, as some have thought,</w:t>
        <w:br w:type="textWrapping"/>
        <w:t xml:space="preserve">but only as the ordinary appellation of</w:t>
        <w:br w:type="textWrapping"/>
        <w:t xml:space="preserve">Jesus by the Jews, see John xviii. 5, 7;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8; xxvi. 9. </w:t>
        <w:br w:type="textWrapping"/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(by)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denote</w:t>
        <w:br w:type="textWrapping"/>
        <w:t xml:space="preserve">the source whence the proof came.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taken in its fuller and</w:t>
        <w:br w:type="textWrapping"/>
        <w:t xml:space="preserve">stricter meaning: viz. as importing,—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shewn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which He claimed to be.</w:t>
        <w:br w:type="textWrapping"/>
        <w:t xml:space="preserve">The connexion of the passage is, that the</w:t>
        <w:br w:type="textWrapping"/>
        <w:t xml:space="preserve">Man Jesus of Nazareth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demonstrated,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wrought in among</w:t>
        <w:br w:type="textWrapping"/>
        <w:t xml:space="preserve">you,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God’s counsel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delivered to death,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raised up (which raising up is</w:t>
        <w:br w:type="textWrapping"/>
        <w:t xml:space="preserve">argued on till ver. 32, then taken up</w:t>
        <w:br w:type="textWrapping"/>
        <w:t xml:space="preserve">again),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36), finally, made</w:t>
        <w:br w:type="textWrapping"/>
        <w:t xml:space="preserve">Lord and Christ. This was the process of</w:t>
        <w:br w:type="textWrapping"/>
        <w:t xml:space="preserve">argument then with the Jews,—proceeding</w:t>
        <w:br w:type="textWrapping"/>
        <w:t xml:space="preserve">on the identity of a man whom they had</w:t>
        <w:br w:type="textWrapping"/>
        <w:t xml:space="preserve">seen and known,—and then mounting</w:t>
        <w:br w:type="textWrapping"/>
        <w:t xml:space="preserve">up from His works and His death and</w:t>
        <w:br w:type="textWrapping"/>
        <w:t xml:space="preserve">His resurrection,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glorification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all THE PURPOSE AND DOING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 did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</w:t>
        <w:br w:type="textWrapping"/>
        <w:t xml:space="preserve">not, as De Wette characterizes 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low</w:t>
        <w:br w:type="textWrapping"/>
        <w:t xml:space="preserve">view of the miracles wrought by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</w:t>
        <w:br w:type="textWrapping"/>
        <w:t xml:space="preserve">is it inconsistent with John ii. 11; but it</w:t>
        <w:br w:type="textWrapping"/>
        <w:t xml:space="preserve">is in strict accordance with the progress of</w:t>
        <w:br w:type="textWrapping"/>
        <w:t xml:space="preserve">our Lord through humiliation to glory,</w:t>
        <w:br w:type="textWrapping"/>
        <w:t xml:space="preserve">and with His own words in that very</w:t>
        <w:br w:type="textWrapping"/>
        <w:t xml:space="preserve">Gospel (v. 19), which is devoted to the</w:t>
        <w:br w:type="textWrapping"/>
        <w:t xml:space="preserve">great subject,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manifestation, by the</w:t>
        <w:br w:type="textWrapping"/>
        <w:t xml:space="preserve">Father, of the glory of the 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side of the subject is here especially dwelt</w:t>
        <w:br w:type="textWrapping"/>
        <w:t xml:space="preserve">on in argument with these Jews, to exhibit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the whole course of Jesus 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BtAkQn0oEqUa7Y6/Y8hKeZQiIA==">CgMxLjA4AHIhMTI2WjVHVGNxajEzNGw3cVk3emhVaUJxQWdZX2RMYk9u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