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have formed part of their preaching.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3.] it was now eventide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perhaps, from</w:t>
        <w:br w:type="textWrapping"/>
        <w:t xml:space="preserve">their adjourning the case till the next day,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second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evening, beginning with the</w:t>
        <w:br w:type="textWrapping"/>
        <w:t xml:space="preserve">twelfth hour: see Matt. xiv. 15, and note.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4. the number of the men]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</w:t>
        <w:br w:type="textWrapping"/>
        <w:t xml:space="preserve">Greek word for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here is that which</w:t>
        <w:br w:type="textWrapping"/>
        <w:t xml:space="preserve">signifies males as distinguished from females.</w:t>
        <w:br w:type="textWrapping"/>
        <w:t xml:space="preserve">But it does not appear whether we are to</w:t>
        <w:br w:type="textWrapping"/>
        <w:t xml:space="preserve">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ke this strictly as masculine, or more</w:t>
        <w:br w:type="textWrapping"/>
        <w:t xml:space="preserve">loosely, as if it were the more general</w:t>
        <w:br w:type="textWrapping"/>
        <w:t xml:space="preserve">term. Meyer thinks the former: </w:t>
        <w:br w:type="textWrapping"/>
        <w:t xml:space="preserve">Olshausen, that as yet only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attached</w:t>
        <w:br w:type="textWrapping"/>
        <w:t xml:space="preserve">themselves to the church (but see ch. i.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14)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De Wette objects to the stricter</w:t>
        <w:br w:type="textWrapping"/>
        <w:t xml:space="preserve">that St. 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ke does not so reckon,</w:t>
        <w:br w:type="textWrapping"/>
        <w:t xml:space="preserve">ch. ii, 4 (see however Luke ix. 14, and</w:t>
        <w:br w:type="textWrapping"/>
        <w:t xml:space="preserve">cf. the parallel place in Matthew): but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leaves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 undecided. The laxer use of this</w:t>
        <w:br w:type="textWrapping"/>
        <w:t xml:space="preserve">stricter term occurs Luke xi. 31, and James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i. 20.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ch. v. 14,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women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both</w:t>
        <w:br w:type="textWrapping"/>
        <w:t xml:space="preserve">are mentioned as being added to the Lord.</w:t>
        <w:br w:type="textWrapping"/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12.]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APOSTLES EXAMINED </w:t>
        <w:br w:type="textWrapping"/>
        <w:t xml:space="preserve">BEFORE THE SANHEDRIM.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PETER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SPEECH.</w:t>
        <w:br w:type="textWrapping"/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5. their rulers, &amp;c.]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i. e. the rulers</w:t>
        <w:br w:type="textWrapping"/>
        <w:t xml:space="preserve">&amp;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of the Jews; a construction frequently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used where there can be little chance of</w:t>
        <w:br w:type="textWrapping"/>
        <w:t xml:space="preserve">mistaking to whom or what the pronoun</w:t>
        <w:br w:type="textWrapping"/>
        <w:t xml:space="preserve">refers. </w:t>
        <w:br w:type="textWrapping"/>
        <w:br w:type="textWrapping"/>
        <w:t xml:space="preserve">The rulers, elders, and scribes</w:t>
        <w:br w:type="textWrapping"/>
        <w:t xml:space="preserve">together make up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Sanhedrim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or great</w:t>
        <w:br w:type="textWrapping"/>
        <w:t xml:space="preserve">council: see Matt. ii. 4; xxvi. 59; ch. v.</w:t>
        <w:br w:type="textWrapping"/>
        <w:t xml:space="preserve">21.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6. at Jerusalem]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Why is this </w:t>
        <w:br w:type="textWrapping"/>
        <w:t xml:space="preserve">specified? I believe it merely implies that</w:t>
        <w:br w:type="textWrapping"/>
        <w:t xml:space="preserve">the meeting was not held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 the temple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  <w:br w:type="textWrapping"/>
        <w:t xml:space="preserve">but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 the city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On Annas and</w:t>
        <w:br w:type="textWrapping"/>
        <w:t xml:space="preserve">Caiaphas, both called high priests, Luke</w:t>
        <w:br w:type="textWrapping"/>
        <w:t xml:space="preserve">iii. 2,—see note there.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7.] By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(literally,</w:t>
        <w:br w:type="textWrapping"/>
        <w:t xml:space="preserve">in)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what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(manner of)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power?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of what</w:t>
        <w:br w:type="textWrapping"/>
        <w:t xml:space="preserve">kind was the enabling cause, the element</w:t>
        <w:br w:type="textWrapping"/>
        <w:t xml:space="preserve">in which, as its condition, the deed was</w:t>
        <w:br w:type="textWrapping"/>
        <w:t xml:space="preserve">wrought?—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sce above)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what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(manner</w:t>
        <w:br w:type="textWrapping"/>
        <w:t xml:space="preserve">of) name, spoken as a word of power: sce</w:t>
        <w:br w:type="textWrapping"/>
        <w:t xml:space="preserve">ch. iii. 6, 16. 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,—not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teaching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(as some think),—nor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both the miracle and</w:t>
        <w:br w:type="textWrapping"/>
        <w:t xml:space="preserve">the teaching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(as others), but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miracle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</w:t>
        <w:br w:type="textWrapping"/>
        <w:t xml:space="preserve">and that only. 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8.] filled with the</w:t>
        <w:br w:type="textWrapping"/>
        <w:t xml:space="preserve">Holy Ghost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i.e. specially, for the </w:t>
        <w:br w:type="textWrapping"/>
        <w:t xml:space="preserve">occasion. 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10.] whom ye crucified,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whom God raised...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 copula (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or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but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is omitted, to make the contrast more</w:t>
        <w:br w:type="textWrapping"/>
        <w:t xml:space="preserve">striking. </w:t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11.]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See Matt. xxi. 42, note.</w:t>
        <w:br w:type="textWrapping"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13–18.]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CONSULTATION AND SENTENCE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+WjT7DPX5+6FKk/JboO3MVwUaZw==">CgMxLjA4AHIhMVZGM1U0b1pYMmxQNGNpa2lwdWZiQlR2SnVETjdEcm5G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