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SANHEDRIM.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having previously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e. they did not then </w:t>
        <w:br w:type="textWrapping"/>
        <w:t xml:space="preserve">perceive it for the first time; this is stated 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reason for their wonder: not as the A.V.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recognized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their </w:t>
        <w:br w:type="textWrapping"/>
        <w:t xml:space="preserve">astonishment setting them to think, and reminding</w:t>
        <w:br w:type="textWrapping"/>
        <w:t xml:space="preserve">them that they had seen these men with</w:t>
        <w:br w:type="textWrapping"/>
        <w:t xml:space="preserve">Jesus :—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they (once) were with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name of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i.e. so as to make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(basis) of their discoursing.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19–22.]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APOSTLES’ ANSWER AND</w:t>
        <w:br w:type="textWrapping"/>
        <w:t xml:space="preserve">DISMISSAL.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 when they had further</w:t>
        <w:br w:type="textWrapping"/>
        <w:t xml:space="preserve">threatened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;—i.e. with threats </w:t>
        <w:br w:type="textWrapping"/>
        <w:t xml:space="preserve">super-added to the inhibition of ver. 18.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finding no means]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difficulty with the</w:t>
        <w:br w:type="textWrapping"/>
        <w:t xml:space="preserve">Sanhedrim was, to find any means of </w:t>
        <w:br w:type="textWrapping"/>
        <w:t xml:space="preserve">pun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ishing them which should not stir up the</w:t>
        <w:br w:type="textWrapping"/>
        <w:t xml:space="preserve">people.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</w:t>
        <w:br w:type="textWrapping"/>
        <w:t xml:space="preserve">being more than forty years old both gave</w:t>
        <w:br w:type="textWrapping"/>
        <w:t xml:space="preserve">notoriety to his person as having long </w:t>
        <w:br w:type="textWrapping"/>
        <w:t xml:space="preserve">resorted there, and made the miracle more</w:t>
        <w:br w:type="textWrapping"/>
        <w:t xml:space="preserve">notable, his malady being more confirmed.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PRAYER OF THE CHURCH</w:t>
        <w:br w:type="textWrapping"/>
        <w:t xml:space="preserve">THEREUPON.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their own company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i.e. the other Apostles, and possibly</w:t>
        <w:br w:type="textWrapping"/>
        <w:t xml:space="preserve">some others assembled with them. There</w:t>
        <w:br w:type="textWrapping"/>
        <w:t xml:space="preserve">is nothing in ver. 31 to mark that only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HLpktcFBzgtIYSFsjBm/DOsFwA==">CgMxLjA4AHIhMTdoOWhyR0l0blFOUDdlQmM2QUpqRjM1c3NpcGJkX3lW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