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Shechinah, or divine appearance, see Exod.</w:t>
        <w:br w:type="textWrapping"/>
        <w:t xml:space="preserve">xxiv. 16, 17, and ver. 55.—The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decide nothing as to Stephen’s</w:t>
        <w:br w:type="textWrapping"/>
        <w:t xml:space="preserve">genuine Hebrew extraction. Any Jew would thus speak.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he dwelt in Charran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</w:t>
        <w:br w:type="textWrapping"/>
        <w:t xml:space="preserve">the Jewish tradition,</w:t>
        <w:br w:type="textWrapping"/>
        <w:t xml:space="preserve">though not asserted in Genesis. Thus</w:t>
        <w:br w:type="textWrapping"/>
        <w:t xml:space="preserve">Philo, having paraphrased the divine command, says, “For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Abraham is</w:t>
        <w:br w:type="textWrapping"/>
        <w:t xml:space="preserve">said to have made his first move from the</w:t>
        <w:br w:type="textWrapping"/>
        <w:t xml:space="preserve">land of the 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 to that of the Charr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ans.” But he accurately distinguishes</w:t>
        <w:br w:type="textWrapping"/>
        <w:t xml:space="preserve">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</w:t>
        <w:br w:type="textWrapping"/>
        <w:t xml:space="preserve">obeyed in leaving 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afterwards, adding a reason after his manner, why God could not be seen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apprehended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him while he was yet a 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and an astrologer. The fact of his</w:t>
        <w:br w:type="textWrapping"/>
        <w:t xml:space="preserve">having left Ur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divine intimation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plainly stated in Gen. xv. 7, and referred</w:t>
        <w:br w:type="textWrapping"/>
        <w:t xml:space="preserve">to in Neh. ix. 7. It was surely both 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ral and allowable to express this first command in the well-known words of the</w:t>
        <w:br w:type="textWrapping"/>
        <w:t xml:space="preserve">second.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Charran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the LXX for</w:t>
        <w:br w:type="textWrapping"/>
        <w:t xml:space="preserve">Haran, Gen. xi. 31,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4 Kings xix. 12;</w:t>
        <w:br w:type="textWrapping"/>
        <w:t xml:space="preserve">Ezek. xxvii. 23. It is in Mesopotamia, and</w:t>
        <w:br w:type="textWrapping"/>
        <w:t xml:space="preserve">is celebrated in Roman history as Carrh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 happened the defeat and slaughter</w:t>
        <w:br w:type="textWrapping"/>
        <w:t xml:space="preserve">of Crassus by the Parthians. It lay on an</w:t>
        <w:br w:type="textWrapping"/>
        <w:t xml:space="preserve">ancient road, in a large plain surrounded</w:t>
        <w:br w:type="textWrapping"/>
        <w:t xml:space="preserve">by mountains; it was still a great city in</w:t>
        <w:br w:type="textWrapping"/>
        <w:t xml:space="preserve">the days of the Arabian caliphs.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4. when his father was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Gen. xi.</w:t>
        <w:br w:type="textWrapping"/>
        <w:t xml:space="preserve">26, we read that Terah lived 70 years and</w:t>
        <w:br w:type="textWrapping"/>
        <w:t xml:space="preserve">begot Abram, Nahor, and Haran; in xi.</w:t>
        <w:br w:type="textWrapping"/>
        <w:t xml:space="preserve">32, that Terah lived 205 years, and died in</w:t>
        <w:br w:type="textWrapping"/>
        <w:t xml:space="preserve">Haran; and in xii. 4, that Abram was 75</w:t>
        <w:br w:type="textWrapping"/>
        <w:t xml:space="preserve">years old when he left Haran. Since then</w:t>
        <w:br w:type="textWrapping"/>
        <w:t xml:space="preserve">70 added to 75 makes 145, Terah must</w:t>
        <w:br w:type="textWrapping"/>
        <w:t xml:space="preserve">have lived about 60 years in Haran after</w:t>
        <w:br w:type="textWrapping"/>
        <w:t xml:space="preserve">Abram’s departure.—It seems evident, that</w:t>
        <w:br w:type="textWrapping"/>
        <w:t xml:space="preserve">the Jewish chronology, which Stephen follows, was at fault here, owing to the circumstance of Terah’s 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Gen. xi. 32,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command to Abram</w:t>
        <w:br w:type="textWrapping"/>
        <w:t xml:space="preserve">to leave Haran;—it not having been observed that the mention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anticipatory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this is confirmed by Philo having fallen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into the same mistake, and stated the removal of Abraham from Haran, in almost</w:t>
        <w:br w:type="textWrapping"/>
        <w:t xml:space="preserve">these same words, to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his</w:t>
        <w:br w:type="textWrapping"/>
        <w:t xml:space="preserve">father’s death.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observable that the</w:t>
        <w:br w:type="textWrapping"/>
        <w:t xml:space="preserve">Samaritan Pentateuch, in Gen. xi. 32, for</w:t>
        <w:br w:type="textWrapping"/>
        <w:t xml:space="preserve">205, reads 145, which has most probably</w:t>
        <w:br w:type="textWrapping"/>
        <w:t xml:space="preserve">been an alteration to remove the apparent</w:t>
        <w:br w:type="textWrapping"/>
        <w:t xml:space="preserve">inconsistency.—The subterfuge of understanding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Terah, who</w:t>
        <w:br w:type="textWrapping"/>
        <w:t xml:space="preserve">is, as a further hypothesis, supposed to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relapsed into idolatry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Haran,</w:t>
        <w:br w:type="textWrapping"/>
        <w:t xml:space="preserve">appears to have originated with the Rabbis,</w:t>
        <w:br w:type="textWrapping"/>
        <w:t xml:space="preserve">on discovering that their tradition was at</w:t>
        <w:br w:type="textWrapping"/>
        <w:t xml:space="preserve">variance with the sacred chronology. They</w:t>
        <w:br w:type="textWrapping"/>
        <w:t xml:space="preserve">have not been without followers in modern</w:t>
        <w:br w:type="textWrapping"/>
        <w:t xml:space="preserve">Christendom. See in my Greek Testament</w:t>
        <w:br w:type="textWrapping"/>
        <w:t xml:space="preserve">instances of unworthy treatment of the</w:t>
        <w:br w:type="textWrapping"/>
        <w:t xml:space="preserve">assertion in the text in order to evade</w:t>
        <w:br w:type="textWrapping"/>
        <w:t xml:space="preserve">the difficulty. The way in which it has</w:t>
        <w:br w:type="textWrapping"/>
        <w:t xml:space="preserve">been met by some commentators, viz.</w:t>
        <w:br w:type="textWrapping"/>
        <w:t xml:space="preserve">that we have no right to assume that</w:t>
        <w:br w:type="textWrapping"/>
        <w:t xml:space="preserve">Abram was born when Terah was 70, but</w:t>
        <w:br w:type="textWrapping"/>
        <w:t xml:space="preserve">may regard him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youngest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son, would</w:t>
        <w:br w:type="textWrapping"/>
        <w:t xml:space="preserve">leave us in this equally unsatisfactory position:—Terah,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course of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begets his son Abram at 130 (205 minus</w:t>
        <w:br w:type="textWrapping"/>
        <w:t xml:space="preserve">75): yet this very son Abram regards it as</w:t>
        <w:br w:type="textWrapping"/>
        <w:t xml:space="preserve">incredible that he himself should beget a</w:t>
        <w:br w:type="textWrapping"/>
        <w:t xml:space="preserve">son at 99 (Gen. xvii. 1, 17); and on the</w:t>
        <w:br w:type="textWrapping"/>
        <w:t xml:space="preserve">fact of the birth of Isaac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 the</w:t>
        <w:br w:type="textWrapping"/>
        <w:t xml:space="preserve">course of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most important Scriptural arguments and consequences are</w:t>
        <w:br w:type="textWrapping"/>
        <w:t xml:space="preserve">founded; cf. iv. 17–21; Heb. xi. 11, 12.</w:t>
        <w:br w:type="textWrapping"/>
        <w:t xml:space="preserve">We may fairly leave these commentators</w:t>
        <w:br w:type="textWrapping"/>
        <w:t xml:space="preserve">with their new difficulty: only remarking</w:t>
        <w:br w:type="textWrapping"/>
        <w:t xml:space="preserve">for our instruction, how sure those are to</w:t>
        <w:br w:type="textWrapping"/>
        <w:t xml:space="preserve">plunge into hopeless confusion, who, from</w:t>
        <w:br w:type="textWrapping"/>
        <w:t xml:space="preserve">motives however good, once begin to handle the word of God deceitfully.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removed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these words Stephen</w:t>
        <w:br w:type="textWrapping"/>
        <w:t xml:space="preserve">clearly recognizes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</w:t>
        <w:br w:type="textWrapping"/>
        <w:t xml:space="preserve">migrate from Haran to Canaan; and as</w:t>
        <w:br w:type="textWrapping"/>
        <w:t xml:space="preserve">clearly therefore made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mistake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2,</w:t>
        <w:br w:type="textWrapping"/>
        <w:t xml:space="preserve">but applied the expressed words of the</w:t>
        <w:br w:type="textWrapping"/>
        <w:t xml:space="preserve">second command to the first injunction.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5. gave him none inheritance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There is no occasion here to wrest our text</w:t>
        <w:br w:type="textWrapping"/>
        <w:t xml:space="preserve">in order to produce accordance with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M4E8xjplobErcwcJHP8o5TM0A==">CgMxLjA4AHIhMXJnRHhPZUV4VEZuV1BvMndzS0Rwa0VKN3pkQk5OMVgw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