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probably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xiii. 2, but certainly ch. x.</w:t>
        <w:br w:type="textWrapping"/>
        <w:t xml:space="preserve">19; xvi. 6, 7. Chrysostom understands</w:t>
        <w:br w:type="textWrapping"/>
        <w:t xml:space="preserve">the words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appearance of an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the text hardly allows it.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Yea, but....: i.e. “It is 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art</w:t>
        <w:br w:type="textWrapping"/>
        <w:t xml:space="preserve">well employed: but....?” The form of</w:t>
        <w:br w:type="textWrapping"/>
        <w:t xml:space="preserve">the question assumes, modestly, that he</w:t>
        <w:br w:type="textWrapping"/>
        <w:t xml:space="preserve">did not understand what he was reading.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margin) gives the</w:t>
        <w:br w:type="textWrapping"/>
        <w:t xml:space="preserve">reason of the negative which is understood.</w:t>
        <w:br w:type="textWrapping"/>
        <w:t xml:space="preserve">The answer expresses at once humility and</w:t>
        <w:br w:type="textWrapping"/>
        <w:t xml:space="preserve">docility.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Perhaps it is best to</w:t>
        <w:br w:type="textWrapping"/>
        <w:t xml:space="preserve">render,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contents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(passage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Scripture which he was reading were as</w:t>
        <w:br w:type="textWrapping"/>
        <w:t xml:space="preserve">follows.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stands in the Hebrew ‘He was taken away by distress and</w:t>
        <w:br w:type="textWrapping"/>
        <w:t xml:space="preserve">judgment’ (so in the margin of the A.V.):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owth, ‘by an oppressive judgment.’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age in</w:t>
        <w:br w:type="textWrapping"/>
        <w:t xml:space="preserve">which he 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—‘the wickedness of his</w:t>
        <w:br w:type="textWrapping"/>
        <w:t xml:space="preserve">contemporaries.’ The fathers, and Bede</w:t>
        <w:br w:type="textWrapping"/>
        <w:t xml:space="preserve">and some modern Commentators, explain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eternal Sonship</w:t>
        <w:br w:type="textWrapping"/>
        <w:t xml:space="preserve">and His miraculous Incarnation. But the</w:t>
        <w:br w:type="textWrapping"/>
        <w:t xml:space="preserve">Hebrew does not seem to bear this out.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 answered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passage of</w:t>
        <w:br w:type="textWrapping"/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considered as the question proposed: not, to the question in ver. 30.</w:t>
        <w:br w:type="textWrapping"/>
        <w:t xml:space="preserve">We can hardly suppose any immediate reference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other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86. a certain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Traditions</w:t>
        <w:br w:type="textWrapping"/>
        <w:t xml:space="preserve">about the situation of this spring are found</w:t>
        <w:br w:type="textWrapping"/>
        <w:t xml:space="preserve">in some ancient notes to Jerome. It is</w:t>
        <w:br w:type="textWrapping"/>
        <w:t xml:space="preserve">said to be near a place named Bethsur.</w:t>
        <w:br w:type="textWrapping"/>
        <w:t xml:space="preserve">Eusebius states it to be twenty miles south</w:t>
        <w:br w:type="textWrapping"/>
        <w:t xml:space="preserve">of Jerusalem in the direction of Hebron:</w:t>
        <w:br w:type="textWrapping"/>
        <w:t xml:space="preserve">and so it is set down in the ancient itineraries. Pocock found there a fountain</w:t>
        <w:br w:type="textWrapping"/>
        <w:t xml:space="preserve">built over, and a village called Betur on</w:t>
        <w:br w:type="textWrapping"/>
        <w:t xml:space="preserve">the left. Fabri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ribes the fountain as the</w:t>
        <w:br w:type="textWrapping"/>
        <w:t xml:space="preserve">head of a considerable brook, and found near</w:t>
        <w:br w:type="textWrapping"/>
        <w:t xml:space="preserve">it the ruins of a Christian church. There</w:t>
        <w:br w:type="textWrapping"/>
        <w:t xml:space="preserve">is no improbability in the tradition, except</w:t>
        <w:br w:type="textWrapping"/>
        <w:t xml:space="preserve">that, even supposing a way going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ross</w:t>
        <w:br w:type="textWrapping"/>
        <w:t xml:space="preserve">from Hebron straight to Gaza to be called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would not be on that portion</w:t>
        <w:br w:type="textWrapping"/>
        <w:t xml:space="preserve">of it, but on the high road.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doth hinder me to be baptized?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</w:t>
        <w:br w:type="textWrapping"/>
        <w:t xml:space="preserve">no reason for supposing Philip to have</w:t>
        <w:br w:type="textWrapping"/>
        <w:t xml:space="preserve">preached to him the necessity of baptism:</w:t>
        <w:br w:type="textWrapping"/>
        <w:t xml:space="preserve">his own acquaintance with Jewish practices,</w:t>
        <w:br w:type="textWrapping"/>
        <w:t xml:space="preserve">and perhaps his knowledge of the progress of the new faith in Jerusalem, would</w:t>
        <w:br w:type="textWrapping"/>
        <w:t xml:space="preserve">account for the proposition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authorities against this verse are too</w:t>
        <w:br w:type="textWrapping"/>
        <w:t xml:space="preserve">strong to permit its insertion. It appears</w:t>
        <w:br w:type="textWrapping"/>
        <w:t xml:space="preserve">to have been one of those remarkable additions to the text of the Acts, common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Buk99X+6S0bAUj7r8m+mDZ9Xog==">AMUW2mU4CLNFvt1LKo9s13iQfGg7ruN2gQJRiTFn23g692c1XjvC7xKj1+nHO9bmoGmQQaOFum8PwDTbIx5sE9k80+QK1UuLRLkae5E1shH9DOU+LLuoZiE=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