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avoid the extreme and violent opposition which he would immediately encounter</w:t>
        <w:br w:type="textWrapping"/>
        <w:t xml:space="preserve">from the Jews themselves,—but partly</w:t>
        <w:br w:type="textWrapping"/>
        <w:t xml:space="preserve">also, it may well be believed, because he</w:t>
        <w:br w:type="textWrapping"/>
        <w:t xml:space="preserve">himself in the synagogues of the Hellenists</w:t>
        <w:br w:type="textWrapping"/>
        <w:t xml:space="preserve">had opposed Stephen formerly.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when the brethren knew....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There was also another reason. He was</w:t>
        <w:br w:type="textWrapping"/>
        <w:t xml:space="preserve">praying in the temple, and saw the Lord in</w:t>
        <w:br w:type="textWrapping"/>
        <w:t xml:space="preserve">a vision, who commanded him to depart,</w:t>
        <w:br w:type="textWrapping"/>
        <w:t xml:space="preserve">for they would not receive his testimony:</w:t>
        <w:br w:type="textWrapping"/>
        <w:t xml:space="preserve">—and sent him from thence to the Gentiles: see ch. xxii, 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 and notes. His</w:t>
        <w:br w:type="textWrapping"/>
        <w:t xml:space="preserve">stay in Jerusalem at this visit was fifteen</w:t>
        <w:br w:type="textWrapping"/>
        <w:t xml:space="preserve">days, Gal. i. 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sarea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From</w:t>
        <w:br w:type="textWrapping"/>
        <w:t xml:space="preserve">the whole cast of the sentence, and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brought him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sent him</w:t>
        <w:br w:type="textWrapping"/>
        <w:t xml:space="preserve">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should infer this to be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</w:t>
        <w:br w:type="textWrapping"/>
        <w:t xml:space="preserve">Stratonis (see on ch. x. 1), even if this were</w:t>
        <w:br w:type="textWrapping"/>
        <w:t xml:space="preserve">not determined by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sarea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used</w:t>
        <w:br w:type="textWrapping"/>
        <w:t xml:space="preserve">absolutely, which always applies to this</w:t>
        <w:br w:type="textWrapping"/>
        <w:t xml:space="preserve">city, and not to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 Philippi (which</w:t>
        <w:br w:type="textWrapping"/>
        <w:t xml:space="preserve">some believe to be meant: see Matt. xvi.</w:t>
        <w:br w:type="textWrapping"/>
        <w:t xml:space="preserve">13 and note). From Gal. i. 21, it would</w:t>
        <w:br w:type="textWrapping"/>
        <w:t xml:space="preserve">appear that Saul about this time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raversed</w:t>
        <w:br w:type="textWrapping"/>
        <w:t xml:space="preserve">Syria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his way to Tarsus?). If so, he</w:t>
        <w:br w:type="textWrapping"/>
        <w:t xml:space="preserve">probably went by sea to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leucia, and</w:t>
        <w:br w:type="textWrapping"/>
        <w:t xml:space="preserve">thence to Antioch.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sent</w:t>
        <w:br w:type="textWrapping"/>
        <w:t xml:space="preserve">him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looks more like a ‘sending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sea, than a mere ‘sending forward’ by</w:t>
        <w:br w:type="textWrapping"/>
        <w:t xml:space="preserve">land. They sent him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‘for,’</w:t>
        <w:br w:type="textWrapping"/>
        <w:t xml:space="preserve">Tarsus. He was not idle there, but certainly preached the Gospel, and in all probability was the founder of the churches</w:t>
        <w:br w:type="textWrapping"/>
        <w:t xml:space="preserve">alluded to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xv. 23 and 41.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RIsHING STATE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URCH IN PALESTINE AT THIS TIME.</w:t>
        <w:br w:type="textWrapping"/>
        <w:t xml:space="preserve">Commencement of new section: compare</w:t>
        <w:br w:type="textWrapping"/>
        <w:t xml:space="preserve">note, ch. xi. 19. The reading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instead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 hardly (as</w:t>
        <w:br w:type="textWrapping"/>
        <w:t xml:space="preserve">Meyer) be an alteration to suit the idea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unity of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,—as in that</w:t>
        <w:br w:type="textWrapping"/>
        <w:t xml:space="preserve">case we should have similar alterations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ch. xv. 41; xvi. 5, where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 variations</w:t>
        <w:br w:type="textWrapping"/>
        <w:t xml:space="preserve">are found in the chief MSS.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More probably, it has been altered here to conform</w:t>
        <w:br w:type="textWrapping"/>
        <w:t xml:space="preserve">it to those places. This description probably embraces most of the time since the</w:t>
        <w:br w:type="textWrapping"/>
        <w:t xml:space="preserve">conversion of Saul. De Wette observes,</w:t>
        <w:br w:type="textWrapping"/>
        <w:t xml:space="preserve">that the attention of the Jews was, during</w:t>
        <w:br w:type="textWrapping"/>
        <w:t xml:space="preserve">much of this time, distracted from the</w:t>
        <w:br w:type="textWrapping"/>
        <w:t xml:space="preserve">Christians, by the attempt of Caligula to</w:t>
        <w:br w:type="textWrapping"/>
        <w:t xml:space="preserve">set up his image in the temple at Jerusalem, related by Josephus.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being</w:t>
        <w:br w:type="textWrapping"/>
        <w:t xml:space="preserve">built 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edified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Matt. xvi. 18. It</w:t>
        <w:br w:type="textWrapping"/>
        <w:t xml:space="preserve">probably refers to both external and internal strength and accession of grace.</w:t>
        <w:br w:type="textWrapping"/>
        <w:t xml:space="preserve">St. Paul commonly uses it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building up: see 1 Cor. viii, 1; x. 23;</w:t>
        <w:br w:type="textWrapping"/>
        <w:t xml:space="preserve">xiv. 4, 17; 1 Thess. v. 11.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was</w:t>
        <w:br w:type="textWrapping"/>
        <w:t xml:space="preserve">multiplied by the exhortation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</w:t>
        <w:br w:type="textWrapping"/>
        <w:t xml:space="preserve">inspired by)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Holy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is</w:t>
        <w:br w:type="textWrapping"/>
        <w:t xml:space="preserve">the only rendering which suits the usage</w:t>
        <w:br w:type="textWrapping"/>
        <w:t xml:space="preserve">of the words. See on the others which</w:t>
        <w:br w:type="textWrapping"/>
        <w:t xml:space="preserve">have been given, in my Greek Testament.</w:t>
        <w:br w:type="textWrapping"/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32–35.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HEALING OF ÆNEAS AT LYDDA BY PETER. This and the following miracle form the introduction to the</w:t>
        <w:br w:type="textWrapping"/>
        <w:t xml:space="preserve">very important portion of Peter’s history</w:t>
        <w:br w:type="textWrapping"/>
        <w:t xml:space="preserve">which follows in ch. x.,—by bringing him</w:t>
        <w:br w:type="textWrapping"/>
        <w:t xml:space="preserve">and his work before us again.</w:t>
        <w:br w:type="textWrapping"/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32. as Peter passed throughout all....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These words are aptly introduced by the</w:t>
        <w:br w:type="textWrapping"/>
        <w:t xml:space="preserve">notice in ver. 31, which shews that Peter’s</w:t>
        <w:br w:type="textWrapping"/>
        <w:t xml:space="preserve">journey was not an escape from persecution,</w:t>
        <w:br w:type="textWrapping"/>
        <w:t xml:space="preserve">but undertaken at a time of peace, and for</w:t>
        <w:br w:type="textWrapping"/>
        <w:t xml:space="preserve">the purpose of visiting the churches.—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to which no substantive is</w:t>
        <w:br w:type="textWrapping"/>
        <w:t xml:space="preserve">supplied in the original, may be neuter,</w:t>
        <w:br w:type="textWrapping"/>
        <w:t xml:space="preserve">‘all parts:’ but it is probably masculine,</w:t>
        <w:br w:type="textWrapping"/>
        <w:t xml:space="preserve">and “all the saints” or “all the brethren ”</w:t>
        <w:br w:type="textWrapping"/>
        <w:t xml:space="preserve">are understood. As I have implied on</w:t>
        <w:br w:type="textWrapping"/>
        <w:t xml:space="preserve">ver. 31, this journey of Peter’s is not</w:t>
        <w:br w:type="textWrapping"/>
        <w:t xml:space="preserve">necessarily consecutive on the events of</w:t>
        <w:br w:type="textWrapping"/>
        <w:t xml:space="preserve">vv. 1—30. But an alternative presents</w:t>
        <w:br w:type="textWrapping"/>
        <w:t xml:space="preserve">itself here; either it took place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yagC1tOq2Nx2T1sso40jMRQ74g==">AMUW2mXjoG1javaU/EUcF4h6SmCUOu4uOFMqrOZekt7kjezlAtJYJgDtUW2kg6uqItY3xAA9j/ucPp06BxSJkcu1qO4QF74sklNTmznBFSB4eOGT50QaIVk=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