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sephus,—36 miles from Ptolemais (a day’s</w:t>
        <w:br w:type="textWrapping"/>
        <w:t xml:space="preserve">journey, Acts xxi. 8),—30 from Joppa;—</w:t>
        <w:br w:type="textWrapping"/>
        <w:t xml:space="preserve">one of the largest towns in Palestine, with</w:t>
        <w:br w:type="textWrapping"/>
        <w:t xml:space="preserve">an excellent haven, built by Herod the</w:t>
        <w:br w:type="textWrapping"/>
        <w:t xml:space="preserve">Great, and called Sebastos (Augustus) in</w:t>
        <w:br w:type="textWrapping"/>
        <w:t xml:space="preserve">honour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sar. It was, even before the</w:t>
        <w:br w:type="textWrapping"/>
        <w:t xml:space="preserve">destruction of Jerusalem, the seat of the</w:t>
        <w:br w:type="textWrapping"/>
        <w:t xml:space="preserve">Roman Procurators (see ch. xxiii. 23 ff.;</w:t>
        <w:br w:type="textWrapping"/>
        <w:t xml:space="preserve">xxiv. 27; xxv. 1), and is called by Tacitus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capital of Jud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chiefly</w:t>
        <w:br w:type="textWrapping"/>
        <w:t xml:space="preserve">inhabited by Gentiles, but there were also</w:t>
        <w:br w:type="textWrapping"/>
        <w:t xml:space="preserve">many thousand Jewish inhabitants. It</w:t>
        <w:br w:type="textWrapping"/>
        <w:t xml:space="preserve">was built by Herod the Great. Beforetime</w:t>
        <w:br w:type="textWrapping"/>
        <w:t xml:space="preserve">there was only a fort there, called the</w:t>
        <w:br w:type="textWrapping"/>
        <w:t xml:space="preserve">tower of Strato. It was fortified, provided</w:t>
        <w:br w:type="textWrapping"/>
        <w:t xml:space="preserve">with a haven (see ch. ix. 30; xviii. 22),</w:t>
        <w:br w:type="textWrapping"/>
        <w:t xml:space="preserve">and in honour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Augustus named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more fully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Sebasté.</w:t>
        <w:br w:type="textWrapping"/>
        <w:t xml:space="preserve">Vespasian made it a Roman colony. Abulfeda speaks of it as in ruins in his time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1300). At present there are a few</w:t>
        <w:br w:type="textWrapping"/>
        <w:t xml:space="preserve">ruins only, and some fishers’ huts.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centurion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subordinate officer commanding the sixth part of a cohort, or</w:t>
        <w:br w:type="textWrapping"/>
        <w:t xml:space="preserve">half a maniple.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band called</w:t>
        <w:br w:type="textWrapping"/>
        <w:t xml:space="preserve">the Italian 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cohort levied</w:t>
        <w:br w:type="textWrapping"/>
        <w:t xml:space="preserve">in Italy, not in Syria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a devout</w:t>
        <w:br w:type="textWrapping"/>
        <w:t xml:space="preserve">man, and one that feared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 e. he</w:t>
        <w:br w:type="textWrapping"/>
        <w:t xml:space="preserve">had abandoned polytheism, and was a</w:t>
        <w:br w:type="textWrapping"/>
        <w:t xml:space="preserve">worshipper of the true God: whether a</w:t>
        <w:br w:type="textWrapping"/>
        <w:t xml:space="preserve">proselyte of the gate, or not, seems uncertain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such,</w:t>
        <w:br w:type="textWrapping"/>
        <w:t xml:space="preserve">there is nothing in the narrative to preclude: nor does Meyer’s objection apply,</w:t>
        <w:br w:type="textWrapping"/>
        <w:t xml:space="preserve">that it is not probable that, among the</w:t>
        <w:br w:type="textWrapping"/>
        <w:t xml:space="preserve">many thousand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verts, no Greek proselyte had yet been admitted by baptis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the church. Many such cases may</w:t>
        <w:br w:type="textWrapping"/>
        <w:t xml:space="preserve">have occurred, and some no doubt had:</w:t>
        <w:br w:type="textWrapping"/>
        <w:t xml:space="preserve">but the object of this providential interference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been, to give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</w:t>
        <w:br w:type="textWrapping"/>
        <w:t xml:space="preserve">sanction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such reception, by the agency of</w:t>
        <w:br w:type="textWrapping"/>
        <w:t xml:space="preserve">him who was both the chief of the Apostles,</w:t>
        <w:br w:type="textWrapping"/>
        <w:t xml:space="preserve">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strong upholder of pure Judaism.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hardly possible that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good report among all the nation of the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(ver. 22) should have been said of a</w:t>
        <w:br w:type="textWrapping"/>
        <w:t xml:space="preserve">Gentile not in any way conformed to the</w:t>
        <w:br w:type="textWrapping"/>
        <w:t xml:space="preserve">Jewish faith and worship. The great point</w:t>
        <w:br w:type="textWrapping"/>
        <w:t xml:space="preserve">(ch. xi. 3) which made the present event so</w:t>
        <w:br w:type="textWrapping"/>
        <w:t xml:space="preserve">important, was, that Cornelius was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person. Doubtless also among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24) there must have been.</w:t>
        <w:br w:type="textWrapping"/>
        <w:t xml:space="preserve">many who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proselytes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gave</w:t>
        <w:br w:type="textWrapping"/>
        <w:t xml:space="preserve">much alms to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to the</w:t>
        <w:br w:type="textWrapping"/>
        <w:t xml:space="preserve">Jewish inhabitants, see ch. xxvi. 17, 23;</w:t>
        <w:br w:type="textWrapping"/>
        <w:t xml:space="preserve">xxviii. 17; John xi. 50; xviii. 14, and elsewhere.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prayed to God alway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From</w:t>
        <w:br w:type="textWrapping"/>
        <w:t xml:space="preserve">Cornelius’s own narrative, ver. 31, as well as</w:t>
        <w:br w:type="textWrapping"/>
        <w:t xml:space="preserve">from the analogy of God’s dealings, we are</w:t>
        <w:br w:type="textWrapping"/>
        <w:t xml:space="preserve">certainly justified in inferring, with Neander, that the subject of his prayers was that</w:t>
        <w:br w:type="textWrapping"/>
        <w:t xml:space="preserve">he might be guided into truth, and if so,</w:t>
        <w:br w:type="textWrapping"/>
        <w:t xml:space="preserve">hardly without reference to that faith which</w:t>
        <w:br w:type="textWrapping"/>
        <w:t xml:space="preserve">was now spreading so widely over Judæa.</w:t>
        <w:br w:type="textWrapping"/>
        <w:t xml:space="preserve">This is not matter of conjecture, but is implied by Peter’s 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know,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&amp;c., in</w:t>
        <w:br w:type="textWrapping"/>
        <w:t xml:space="preserve">ver. 37. Further than this, we cannot infer</w:t>
        <w:br w:type="textWrapping"/>
        <w:t xml:space="preserve">with certainty; but,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particular difficulty present in his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sought, we can hardly avoid the conclusion that it was</w:t>
        <w:br w:type="textWrapping"/>
        <w:t xml:space="preserve">connected with the apparent necessity of</w:t>
        <w:br w:type="textWrapping"/>
        <w:t xml:space="preserve">embracing Judaism and circumcision in</w:t>
        <w:br w:type="textWrapping"/>
        <w:t xml:space="preserve">order to become a believer on Christ.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in a vision evidently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in a trance,</w:t>
        <w:br w:type="textWrapping"/>
        <w:t xml:space="preserve">as ver. 10, and ch. xxii. 17,—but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his</w:t>
        <w:br w:type="textWrapping"/>
        <w:t xml:space="preserve">bodily eyes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thus asserting the objective</w:t>
        <w:br w:type="textWrapping"/>
        <w:t xml:space="preserve">truth of the appearance.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about the</w:t>
        <w:br w:type="textWrapping"/>
        <w:t xml:space="preserve">ninth hour of the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here appears</w:t>
        <w:br w:type="textWrapping"/>
        <w:t xml:space="preserve">that Cornelius observed the Jewish hours</w:t>
        <w:br w:type="textWrapping"/>
        <w:t xml:space="preserve">of prayer.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for a memorial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as to be a memorial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’—There has been.</w:t>
        <w:br w:type="textWrapping"/>
        <w:t xml:space="preserve">found a difficulty by some in the fact that</w:t>
        <w:br w:type="textWrapping"/>
        <w:t xml:space="preserve">Cornelius’s works were received as well pleasing to God, before he had justifying faith</w:t>
        <w:br w:type="textWrapping"/>
        <w:t xml:space="preserve">in Christ. But it is surely easy to answer,</w:t>
        <w:br w:type="textWrapping"/>
        <w:t xml:space="preserve">with Calvin and Augustine, that Cornelius</w:t>
        <w:br w:type="textWrapping"/>
        <w:t xml:space="preserve">could not have prayed, without faith. His</w:t>
        <w:br w:type="textWrapping"/>
        <w:t xml:space="preserve">faith was all that he could then attain to,</w:t>
        <w:br w:type="textWrapping"/>
        <w:t xml:space="preserve">and brought forth its fruits abundantly in</w:t>
        <w:br w:type="textWrapping"/>
        <w:t xml:space="preserve">his life: one of which fruits, and the best</w:t>
        <w:br w:type="textWrapping"/>
        <w:t xml:space="preserve">of them, was, the earnest seeking by prayer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P8daiS0xhtmA9IcNknNba82FKA==">AMUW2mWSrqtZQ7iudQKcoop5RPfhRm37Uvs6FT/AnR/RvpABLEzCxa39h946GRSKLex9Xwb9XuzUVlrk9Wt1hmxmMOi6gMpoLUETnoB+GxUnbcxCAy/qK/4=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