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instead of that of the A. V., depends on the</w:t>
        <w:br w:type="textWrapping"/>
        <w:t xml:space="preserve">change of one letter in the Greek. ‘The</w:t>
        <w:br w:type="textWrapping"/>
        <w:t xml:space="preserve">word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etrop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ophoresen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the</w:t>
        <w:br w:type="textWrapping"/>
        <w:t xml:space="preserve">former being the reading rendered in the</w:t>
        <w:br w:type="textWrapping"/>
        <w:t xml:space="preserve">A. V. But the other is the more probable,</w:t>
        <w:br w:type="textWrapping"/>
        <w:t xml:space="preserve">both from the MSS. here, and from the</w:t>
        <w:br w:type="textWrapping"/>
        <w:t xml:space="preserve">Heb. of Deut. i. 31, and the expansion of</w:t>
        <w:br w:type="textWrapping"/>
        <w:t xml:space="preserve">the same image in Num.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seven 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Deut. vii. 1; Josh. iii.</w:t>
        <w:br w:type="textWrapping"/>
        <w:t xml:space="preserve">10; xxiv. 11.—From the occurrence of</w:t>
        <w:br w:type="textWrapping"/>
        <w:t xml:space="preserve">manifest references, in these opening verses</w:t>
        <w:br w:type="textWrapping"/>
        <w:t xml:space="preserve">of the speech, to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i. and Isa. i., combined with the fact that these two chapters</w:t>
        <w:br w:type="textWrapping"/>
        <w:t xml:space="preserve">form the present lessons in the synagogues</w:t>
        <w:br w:type="textWrapping"/>
        <w:t xml:space="preserve">on one and the same sabbath, Bengel and</w:t>
        <w:br w:type="textWrapping"/>
        <w:t xml:space="preserve">Stier conclude that they had been then</w:t>
        <w:br w:type="textWrapping"/>
        <w:t xml:space="preserve">read. It may have been so: but see on</w:t>
        <w:br w:type="textWrapping"/>
        <w:t xml:space="preserve">ver. 15.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Taking the words as</w:t>
        <w:br w:type="textWrapping"/>
        <w:t xml:space="preserve">they stand,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other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be given to</w:t>
        <w:br w:type="textWrapping"/>
        <w:t xml:space="preserve">them, than that the time of the judges</w:t>
        <w:br w:type="textWrapping"/>
        <w:t xml:space="preserve">lasted 450 years. And we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exactly</w:t>
        <w:br w:type="textWrapping"/>
        <w:t xml:space="preserve">the same chronological arrangement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Josephus; who reckons 592 years from the</w:t>
        <w:br w:type="textWrapping"/>
        <w:t xml:space="preserve">Exodus to the building of Solomon’s temple,—arranging the period thus: (1) forty</w:t>
        <w:br w:type="textWrapping"/>
        <w:t xml:space="preserve">years in the wilderness: (2) twenty-five</w:t>
        <w:br w:type="textWrapping"/>
        <w:t xml:space="preserve">years under Joshua: (3) Judges (below):</w:t>
        <w:br w:type="textWrapping"/>
        <w:t xml:space="preserve">(4) forty years under Saul, see on ver. 21:</w:t>
        <w:br w:type="textWrapping"/>
        <w:t xml:space="preserve">(5) forty years under David, 1 Kings ii.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(6) four years of Solomon's own reign.</w:t>
        <w:br w:type="textWrapping"/>
        <w:t xml:space="preserve">This gives 592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149, i.e. 443 years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450) for the judges, including</w:t>
        <w:br w:type="textWrapping"/>
        <w:t xml:space="preserve">Samuel. That this chronology differs</w:t>
        <w:br w:type="textWrapping"/>
        <w:t xml:space="preserve">widely from 1 Kings vi. 1, is most evident,—where we read that Solomon began his</w:t>
        <w:br w:type="textWrapping"/>
        <w:t xml:space="preserve">temple in the four hundred and eightieth</w:t>
        <w:br w:type="textWrapping"/>
        <w:t xml:space="preserve">(LXX, four hundred and fortieth)</w:t>
        <w:br w:type="textWrapping"/>
        <w:t xml:space="preserve">after the Exodus. All attempts to reconcile</w:t>
        <w:br w:type="textWrapping"/>
        <w:t xml:space="preserve">the two are arbitrary and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some such recounted in my Greck Test.</w:t>
        <w:br w:type="textWrapping"/>
        <w:t xml:space="preserve">It seems then that St.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followed a</w:t>
        <w:br w:type="textWrapping"/>
        <w:t xml:space="preserve">chronology current among the Jews,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agreeing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book of Judges itself</w:t>
        <w:br w:type="textWrapping"/>
        <w:t xml:space="preserve">(the spaces of time in which, added together, come exactly to 450), and that adopted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Josephus,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not with that of our</w:t>
        <w:br w:type="textWrapping"/>
        <w:t xml:space="preserve">present Hebrew text of 1 Kings vi. 1.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Samuel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mentioned 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erminus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period of the Judges, also as having</w:t>
        <w:br w:type="textWrapping"/>
        <w:t xml:space="preserve">been so nearly concerned in the setting</w:t>
        <w:br w:type="textWrapping"/>
        <w:t xml:space="preserve">up over them of Saul and David.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  <w:br w:type="textWrapping"/>
        <w:t xml:space="preserve">Saul.... a man of the tribe of Benjamin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It may be not altogether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irrelevant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notice that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ul, a man of the tribe of</w:t>
        <w:br w:type="textWrapping"/>
        <w:t xml:space="preserve">Benjamin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speaking; and to trace in</w:t>
        <w:br w:type="textWrapping"/>
        <w:t xml:space="preserve">this minute specification something characteristic and natural.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space</w:t>
        <w:br w:type="textWrapping"/>
        <w:t xml:space="preserve">of forty 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also Josephus. In the</w:t>
        <w:br w:type="textWrapping"/>
        <w:t xml:space="preserve">Old Testament the length of Saul’s reign</w:t>
        <w:br w:type="textWrapping"/>
        <w:t xml:space="preserve">is not specified; 1 Sam. vii. 2 gives no</w:t>
        <w:br w:type="textWrapping"/>
        <w:t xml:space="preserve">reason, as Bengel thinks, why Saul’s reign</w:t>
        <w:br w:type="textWrapping"/>
        <w:t xml:space="preserve">should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less than twenty 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the twenty years there mentioned do</w:t>
        <w:br w:type="textWrapping"/>
        <w:t xml:space="preserve">not extend to the bringing up of the</w:t>
        <w:br w:type="textWrapping"/>
        <w:t xml:space="preserve">ark by David, but only to the circumstances mentioned in the following verses.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oe has well shewn, that as Saul was a</w:t>
        <w:br w:type="textWrapping"/>
        <w:t xml:space="preserve">young man when anointed king, and</w:t>
        <w:br w:type="textWrapping"/>
        <w:t xml:space="preserve">Ishbosheth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youngest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 Chron. viii. 33)</w:t>
        <w:br w:type="textWrapping"/>
        <w:t xml:space="preserve">was forty years old at his death (2 Sam.</w:t>
        <w:br w:type="textWrapping"/>
        <w:t xml:space="preserve">ii. 10), his reign cannot have been much</w:t>
        <w:br w:type="textWrapping"/>
        <w:t xml:space="preserve">short of that period. It is clearly against</w:t>
        <w:br w:type="textWrapping"/>
        <w:t xml:space="preserve">the construction to suppose Samuel’s time</w:t>
        <w:br w:type="textWrapping"/>
        <w:t xml:space="preserve">as well as Saul’s included in the forty</w:t>
        <w:br w:type="textWrapping"/>
        <w:t xml:space="preserve">years, following as they do upon the verb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them.” Yet this has been done by</w:t>
        <w:br w:type="textWrapping"/>
        <w:t xml:space="preserve">the majority of Commentators.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  <w:br w:type="textWrapping"/>
        <w:t xml:space="preserve">he removed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deposed him: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</w:t>
        <w:br w:type="textWrapping"/>
        <w:t xml:space="preserve">case, by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David was not made</w:t>
        <w:br w:type="textWrapping"/>
        <w:t xml:space="preserve">king till then. Or perhaps the word may</w:t>
        <w:br w:type="textWrapping"/>
        <w:t xml:space="preserve">refer to the sentence pronounced against</w:t>
        <w:br w:type="textWrapping"/>
        <w:t xml:space="preserve">Saul, 1 Sam. 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14, or xv. 23, 28, and</w:t>
        <w:br w:type="textWrapping"/>
        <w:t xml:space="preserve">the following verb,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raised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the whole</w:t>
        <w:br w:type="textWrapping"/>
        <w:t xml:space="preserve">process of the exaltation of David to be</w:t>
        <w:br w:type="textWrapping"/>
        <w:t xml:space="preserve">king. But I prefer the former.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whom he gave testimony, and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two passages,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xxxix. 20, and 1 Sam. xiii. 14,</w:t>
        <w:br w:type="textWrapping"/>
        <w:t xml:space="preserve">are interwoven together: both were</w:t>
        <w:br w:type="textWrapping"/>
        <w:t xml:space="preserve">spoken of David, and both by prophetic</w:t>
        <w:br w:type="textWrapping"/>
        <w:t xml:space="preserve">inspiration. They are cited from memory,</w:t>
        <w:br w:type="textWrapping"/>
        <w:t xml:space="preserve">neither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 of Jesse,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shall fulfil all my will,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vkhMfT9WhVGUdxRX/dz3c1ht9A==">AMUW2mXnEk0oOHPBh/GeK0H8GVlsb+st++3CXWRrbcvro3prTIw0GnC4CnLRy/NCE/3b2HUlcrws7BKEgzMre1pnAYzYCas0OSst5mxAFHwwfRRgf5TGPlY=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