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 in them. These latter words are</w:t>
        <w:br w:type="textWrapping"/>
        <w:t xml:space="preserve">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Cyrus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Isa. xliv.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such citations are left in their present shape</w:t>
        <w:br w:type="textWrapping"/>
        <w:t xml:space="preserve">in our text, forms a strong presumption</w:t>
        <w:br w:type="textWrapping"/>
        <w:t xml:space="preserve">that we have the speeches of St. Paul word</w:t>
        <w:br w:type="textWrapping"/>
        <w:t xml:space="preserve">for word as delivered by him, and no subsequent general statement of what he said,</w:t>
        <w:br w:type="textWrapping"/>
        <w:t xml:space="preserve">in which case the citation would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corrected by the sacred 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God according to promise brought...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viz. the promise in Zech. iii. 8, where the</w:t>
        <w:br w:type="textWrapping"/>
        <w:t xml:space="preserve">very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used; not</w:t>
        <w:br w:type="textWrapping"/>
        <w:t xml:space="preserve">however excluding the many other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ises to the same effect.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before</w:t>
        <w:br w:type="textWrapping"/>
        <w:t xml:space="preserve">the presence of his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referring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when his coming forward</w:t>
        <w:br w:type="textWrapping"/>
        <w:t xml:space="preserve">publicly was about to take place.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‘Ihe expression “to fulfil (or finish) a</w:t>
        <w:br w:type="textWrapping"/>
        <w:t xml:space="preserve">course” is peculiar to St. Paul: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  <w:br w:type="textWrapping"/>
        <w:t xml:space="preserve">xx. 24; 2 Tim. iv. 7. On this course see</w:t>
        <w:br w:type="textWrapping"/>
        <w:t xml:space="preserve">Luke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 ff.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same two</w:t>
        <w:br w:type="textWrapping"/>
        <w:t xml:space="preserve">classes,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on ver. 16,) Jews, and God-fearing Gentiles, are here again addressed:</w:t>
        <w:br w:type="textWrapping"/>
        <w:t xml:space="preserve">and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more distinctly marked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version, than is done in the A.V.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this 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 the salvation implied</w:t>
        <w:br w:type="textWrapping"/>
        <w:t xml:space="preserve">in Jesus being a Saviour—salvation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  <w:br w:type="textWrapping"/>
        <w:t xml:space="preserve">Him.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 the peculiar construction of this verse, almost unintelligible</w:t>
        <w:br w:type="textWrapping"/>
        <w:t xml:space="preserve">in any English representation, consult my</w:t>
        <w:br w:type="textWrapping"/>
        <w:t xml:space="preserve">Greek Test.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 when they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but rather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</w:t>
        <w:br w:type="textWrapping"/>
        <w:t xml:space="preserve">found no cause: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they found no cause</w:t>
        <w:br w:type="textWrapping"/>
        <w:t xml:space="preserve">of death in him, they besought,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&amp;c.: see</w:t>
        <w:br w:type="textWrapping"/>
        <w:t xml:space="preserve">Luke xxiii. 22, 23.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De Wette</w:t>
        <w:br w:type="textWrapping"/>
        <w:t xml:space="preserve">rightly remarks, that St. Paul, in this</w:t>
        <w:br w:type="textWrapping"/>
        <w:t xml:space="preserve">compendious narrative, makes no distinction between friend and foe in what was</w:t>
        <w:br w:type="textWrapping"/>
        <w:t xml:space="preserve">done to our Lord, but regards both as</w:t>
        <w:br w:type="textWrapping"/>
        <w:t xml:space="preserve">fulfilling God’s purpose regarding Him. I</w:t>
        <w:br w:type="textWrapping"/>
        <w:t xml:space="preserve">may add that there is also a contrast</w:t>
        <w:br w:type="textWrapping"/>
        <w:t xml:space="preserve">between what men did to Him,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God's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raising Him, ver. 30.—Joseph and Nicodemus, be it observed, were both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Paul touches but lightly on the cross of</w:t>
        <w:br w:type="textWrapping"/>
        <w:t xml:space="preserve">Christ, and hastens on to the great point,</w:t>
        <w:br w:type="textWrapping"/>
        <w:t xml:space="preserve">the Resurrection, as the fulfilment of prophecy and seal of the Messiahship of Jesus.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n24+NAxxZqcFNcsi+Sj8fKwaOw==">AMUW2mVJ2crlCbf6X/lBHP/Tr3hL1CsKoAos2G+7+OLLTJMTmU3Vx15xyw/K6qxgwYZSvB6OmwKNrJtISyCO0VvVs8iZqCRvNeVuFqiVF6BD8fcJKfyOcK8=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