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information against Paul prosper that the</w:t>
        <w:br w:type="textWrapping"/>
        <w:t xml:space="preserve">informers themselves were beaten without</w:t>
        <w:br w:type="textWrapping"/>
        <w:t xml:space="preserve">interference of the judge.’ Meyer.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has been considered doubtful whether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shorn his head in Cenchr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ĕ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subject of the</w:t>
        <w:br w:type="textWrapping"/>
        <w:t xml:space="preserve">sentence, or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uila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last subject.</w:t>
        <w:br w:type="textWrapping"/>
        <w:t xml:space="preserve">I agree with Neander that if we consider</w:t>
        <w:br w:type="textWrapping"/>
        <w:t xml:space="preserve">the matter carefully, there can be no doubt</w:t>
        <w:br w:type="textWrapping"/>
        <w:t xml:space="preserve">that they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can only apply to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For,</w:t>
        <w:br w:type="textWrapping"/>
        <w:t xml:space="preserve">although this vow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ered from that of the</w:t>
        <w:br w:type="textWrapping"/>
        <w:t xml:space="preserve">Nazarite, who shaved his hair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his votive period in the temple at Jerusalem, and burnt it with his peace-offering</w:t>
        <w:br w:type="textWrapping"/>
        <w:t xml:space="preserve">(Num. 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21), Josephus gives us a description of a somewhat similar one, where</w:t>
        <w:br w:type="textWrapping"/>
        <w:t xml:space="preserve">it appears that the hair was shaved thirty</w:t>
        <w:br w:type="textWrapping"/>
        <w:t xml:space="preserve">days befor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sacrifice. At all events,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sacrifice could be offered any where</w:t>
        <w:br w:type="textWrapping"/>
        <w:t xml:space="preserve">but at Jerusalem: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every such vow</w:t>
        <w:br w:type="textWrapping"/>
        <w:t xml:space="preserve">would conclude with a sacrifice. Now we</w:t>
        <w:br w:type="textWrapping"/>
        <w:t xml:space="preserve">find, on comparing the subsequent course</w:t>
        <w:br w:type="textWrapping"/>
        <w:t xml:space="preserve">of Aquila with that of Paul,—that the</w:t>
        <w:br w:type="textWrapping"/>
        <w:t xml:space="preserve">former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go up to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remained at Ephesus (ver. 26): but that</w:t>
        <w:br w:type="textWrapping"/>
        <w:t xml:space="preserve">Paul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hastened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Ephesus, and did go up</w:t>
        <w:br w:type="textWrapping"/>
        <w:t xml:space="preserve">to Jerusalem: see ver. 22. Again, it would</w:t>
        <w:br w:type="textWrapping"/>
        <w:t xml:space="preserve">be quite irrelevant to the purpose of</w:t>
        <w:br w:type="textWrapping"/>
        <w:t xml:space="preserve">St. Luke, to relate such a fact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one of</w:t>
        <w:br w:type="textWrapping"/>
        <w:t xml:space="preserve">Paul's companions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he should do so</w:t>
        <w:br w:type="textWrapping"/>
        <w:t xml:space="preserve">apologetically, to shew that the Apostle still</w:t>
        <w:br w:type="textWrapping"/>
        <w:t xml:space="preserve">countenanced conformity with the law, is a</w:t>
        <w:br w:type="textWrapping"/>
        <w:t xml:space="preserve">view which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find justified by any</w:t>
        <w:br w:type="textWrapping"/>
        <w:t xml:space="preserve">features of this book: and it surely would</w:t>
        <w:br w:type="textWrapping"/>
        <w:t xml:space="preserve">bea very far-fetched apology, and one likely</w:t>
        <w:br w:type="textWrapping"/>
        <w:t xml:space="preserve">to escape the notice of many readers,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</w:t>
        <w:br w:type="textWrapping"/>
        <w:t xml:space="preserve">that Aquila would not appear as being under</w:t>
        <w:br w:type="textWrapping"/>
        <w:t xml:space="preserve">Paul’s influence, and even his conversion to</w:t>
        <w:br w:type="textWrapping"/>
        <w:t xml:space="preserve">the Gospel has not been related, but is left</w:t>
        <w:br w:type="textWrapping"/>
        <w:t xml:space="preserve">to be implied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26. Again, Meyer’s</w:t>
        <w:br w:type="textWrapping"/>
        <w:t xml:space="preserve">ground for referring the action to Aquila,—that his name is here placed after that of</w:t>
        <w:br w:type="textWrapping"/>
        <w:t xml:space="preserve">his wife,—is untenable, seeing that, for</w:t>
        <w:br w:type="textWrapping"/>
        <w:t xml:space="preserve">some reason, probably the superior character or office in the church, of Priscilla,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same arrangement is found (in the</w:t>
        <w:br w:type="textWrapping"/>
        <w:t xml:space="preserve">best MSS. at ver. 26, and) at Rom. xvi. 3;</w:t>
        <w:br w:type="textWrapping"/>
        <w:t xml:space="preserve">2 Tim. iv. 19. There need be no enquiry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danger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 have prompted such a</w:t>
        <w:br w:type="textWrapping"/>
        <w:t xml:space="preserve">vow on his part, when we recollect the</w:t>
        <w:br w:type="textWrapping"/>
        <w:t xml:space="preserve">catalogue given by him in 2 Cor. xi. Besides, he had, since his last visit to Jerusalem, been suffering from sickness (see</w:t>
        <w:br w:type="textWrapping"/>
        <w:t xml:space="preserve">note on ch. xvi. 6, and Introd. to Gal.</w:t>
        <w:br w:type="textWrapping"/>
        <w:t xml:space="preserve">§ 1. 3): it is true, a considerable time ago,</w:t>
        <w:br w:type="textWrapping"/>
        <w:t xml:space="preserve">but this need not prevent our supposing</w:t>
        <w:br w:type="textWrapping"/>
        <w:t xml:space="preserve">that the vow may have been then made, to</w:t>
        <w:br w:type="textWrapping"/>
        <w:t xml:space="preserve">be paid on his next visit to Jerusalem.</w:t>
        <w:br w:type="textWrapping"/>
        <w:t xml:space="preserve">That he had not sooner paid it is accounted</w:t>
        <w:br w:type="textWrapping"/>
        <w:t xml:space="preserve">for by his having been since that time</w:t>
        <w:br w:type="textWrapping"/>
        <w:t xml:space="preserve">under continual pressure of preaching and</w:t>
        <w:br w:type="textWrapping"/>
        <w:t xml:space="preserve">founding churches, and having finally been</w:t>
        <w:br w:type="textWrapping"/>
        <w:t xml:space="preserve">detained by special command at Corinth.</w:t>
        <w:br w:type="textWrapping"/>
        <w:t xml:space="preserve">That he was now so anxious to pay it</w:t>
        <w:br w:type="textWrapping"/>
        <w:t xml:space="preserve">(ver. 21), consists well with the supposition</w:t>
        <w:br w:type="textWrapping"/>
        <w:t xml:space="preserve">of its having been long delayed.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Cenchrĕa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Cenchrĕa (pronounced Kenchr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ĕ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a)</w:t>
        <w:br w:type="textWrapping"/>
        <w:t xml:space="preserve">was a village with a port, about eight miles</w:t>
        <w:br w:type="textWrapping"/>
        <w:t xml:space="preserve">from Corinth, forming its naval station</w:t>
        <w:br w:type="textWrapping"/>
        <w:t xml:space="preserve">on the Asiatic side, as Lechæum did on the</w:t>
        <w:br w:type="textWrapping"/>
        <w:t xml:space="preserve">Italian. There was soon after a Christian</w:t>
        <w:br w:type="textWrapping"/>
        <w:t xml:space="preserve">church there: see Rom. xvi. 1.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  <w:br w:type="textWrapping"/>
        <w:t xml:space="preserve">Ephesus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Ephesus was the ancient capital</w:t>
        <w:br w:type="textWrapping"/>
        <w:t xml:space="preserve">of Ionia, and at this time, of the Roman</w:t>
        <w:br w:type="textWrapping"/>
        <w:t xml:space="preserve">proconsular province of Asia,—on the</w:t>
        <w:br w:type="textWrapping"/>
        <w:t xml:space="preserve">Caÿster, near the coast, between Smyrna</w:t>
        <w:br w:type="textWrapping"/>
        <w:t xml:space="preserve">and Miletus. It was famed for its commerce, but even more for its magnificent</w:t>
        <w:br w:type="textWrapping"/>
        <w:t xml:space="preserve">temple of Artemis (Diana: see ch. xix. 24,</w:t>
        <w:br w:type="textWrapping"/>
        <w:t xml:space="preserve">27, and notes). See a full account of its</w:t>
        <w:br w:type="textWrapping"/>
        <w:t xml:space="preserve">situation and history, secular and Christian,</w:t>
        <w:br w:type="textWrapping"/>
        <w:t xml:space="preserve">in the Introduction to Eph. § 2. 2–6; and</w:t>
        <w:br w:type="textWrapping"/>
        <w:t xml:space="preserve">an interesting description, with plan, in</w:t>
        <w:br w:type="textWrapping"/>
        <w:t xml:space="preserve">Mr. Lewin’s Life and Epistles of St. Paul,</w:t>
        <w:br w:type="textWrapping"/>
        <w:t xml:space="preserve">i. 344 ff.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left them there: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I should understand this to mean, that the</w:t>
        <w:br w:type="textWrapping"/>
        <w:t xml:space="preserve">Jewish synagogue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outside the town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that Priscilla and Aquila were left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</w:t>
        <w:br w:type="textWrapping"/>
        <w:t xml:space="preserve">the town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omission of the</w:t>
        <w:br w:type="textWrapping"/>
        <w:t xml:space="preserve">words here inserted in the common text,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chvDLXD05ZsLSyaCtAQti4d8iQ==">AMUW2mV+f/l8ao7+VYWF/63JUB/FvmTe8IeALTTEUB+BiiP2KYMq9NIGLtbjDxgfANSvvtgso9Dg18L1CM64qa/gpcTR4bhOz2wEaYd3dMAqNnlyE3/Ut4I=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