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no probable reason for their omission can be suggested. Onthe other hand,</w:t>
        <w:br w:type="textWrapping"/>
        <w:t xml:space="preserve">as De Wette observes, it is hardly imaginable</w:t>
        <w:br w:type="textWrapping"/>
        <w:t xml:space="preserve">that so little should have been assigned to</w:t>
        <w:br w:type="textWrapping"/>
        <w:t xml:space="preserve">the speaker, as would be if these words were</w:t>
        <w:br w:type="textWrapping"/>
        <w:t xml:space="preserve">omitted. Besides this,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  <w:br w:type="textWrapping"/>
        <w:t xml:space="preserve">we 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to require some sequel, some</w:t>
        <w:br w:type="textWrapping"/>
        <w:t xml:space="preserve">reason, after his seizure, why he was there</w:t>
        <w:br w:type="textWrapping"/>
        <w:t xml:space="preserve">present and freed from Jewish durance.</w:t>
        <w:br w:type="textWrapping"/>
        <w:t xml:space="preserve">The phenomena are common enough in</w:t>
        <w:br w:type="textWrapping"/>
        <w:t xml:space="preserve">the Acts, of unaccountable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insertions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</w:t>
        <w:br w:type="textWrapping"/>
        <w:t xml:space="preserve">in this place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unaccountable, for no similarity of ending,</w:t>
        <w:br w:type="textWrapping"/>
        <w:t xml:space="preserve">no doctrinal consideration can have led to</w:t>
        <w:br w:type="textWrapping"/>
        <w:t xml:space="preserve">it.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examining of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</w:t>
        <w:br w:type="textWrapping"/>
        <w:t xml:space="preserve">the disputed words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enough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ysias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if they be</w:t>
        <w:br w:type="textWrapping"/>
        <w:t xml:space="preserve">omitted,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be very unlikely,—that the judge should be referred</w:t>
        <w:br w:type="textWrapping"/>
        <w:t xml:space="preserve">to the prisoner (for examination by torture</w:t>
        <w:br w:type="textWrapping"/>
        <w:t xml:space="preserve">on one who had already claimed his rights</w:t>
        <w:br w:type="textWrapping"/>
        <w:t xml:space="preserve">as a Roman citizen, can hardly be intended)</w:t>
        <w:br w:type="textWrapping"/>
        <w:t xml:space="preserve">for the particulars laid to his charge. Certainly it might, on the other hand, be said</w:t>
        <w:br w:type="textWrapping"/>
        <w:t xml:space="preserve">that Tertullus would hardly refer the governor to Lysias, whose interference he</w:t>
        <w:br w:type="textWrapping"/>
        <w:t xml:space="preserve">had just characterized in such terms of</w:t>
        <w:br w:type="textWrapping"/>
        <w:t xml:space="preserve">blame; but (which is a strong argument</w:t>
        <w:br w:type="textWrapping"/>
        <w:t xml:space="preserve">for the genuineness of the doubtful words)</w:t>
        <w:br w:type="textWrapping"/>
        <w:t xml:space="preserve">remarkably enough, we find Felix, ver. 22,</w:t>
        <w:br w:type="textWrapping"/>
        <w:t xml:space="preserve">putting off the trial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arrival of</w:t>
        <w:br w:type="textWrapping"/>
        <w:t xml:space="preserve">Lysias.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English reader should be cautioned against one mistake which the form</w:t>
        <w:br w:type="textWrapping"/>
        <w:t xml:space="preserve">of the words in the A. V. rather encourages: the referring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accusers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cannot be, as the relative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is,</w:t>
        <w:br w:type="textWrapping"/>
        <w:t xml:space="preserve">in the original,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singular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  <w:br w:type="textWrapping"/>
        <w:t xml:space="preserve">assented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joined in setting upon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bore</w:t>
        <w:br w:type="textWrapping"/>
        <w:t xml:space="preserve">out Tertullus in his charges.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of</w:t>
        <w:br w:type="textWrapping"/>
        <w:t xml:space="preserve">many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Felix was now in the seventh</w:t>
        <w:br w:type="textWrapping"/>
        <w:t xml:space="preserve">year of his procuratorship, which began in</w:t>
        <w:br w:type="textWrapping"/>
        <w:t xml:space="preserve">the twelfth year of Claudius, D.D. 52.—‘The contrast between Tertullus’s and Paul’s</w:t>
        <w:br w:type="textWrapping"/>
        <w:t xml:space="preserve">winning favour with the judge is remarkable. The former I have characterized</w:t>
        <w:br w:type="textWrapping"/>
        <w:t xml:space="preserve">above. But the Apostle, using no flattery,</w:t>
        <w:br w:type="textWrapping"/>
        <w:t xml:space="preserve">yet alleges the one point which could really</w:t>
        <w:br w:type="textWrapping"/>
        <w:t xml:space="preserve">win attention to him from Felix, viz. his</w:t>
        <w:br w:type="textWrapping"/>
        <w:t xml:space="preserve">confidence arising from speaking before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 skilled by experience in the manners</w:t>
        <w:br w:type="textWrapping"/>
        <w:t xml:space="preserve">and customs of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ll. twelve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point of this seems to be, that</w:t>
        <w:br w:type="textWrapping"/>
        <w:t xml:space="preserve">Felix having been so long time a judge</w:t>
        <w:br w:type="textWrapping"/>
        <w:t xml:space="preserve">among the Jews, must be well able to</w:t>
        <w:br w:type="textWrapping"/>
        <w:t xml:space="preserve">search into and adjudicate on an offence</w:t>
        <w:br w:type="textWrapping"/>
        <w:t xml:space="preserve">whose whole course was comprised within</w:t>
        <w:br w:type="textWrapping"/>
        <w:t xml:space="preserve">so short a period.—The twelve days may</w:t>
        <w:br w:type="textWrapping"/>
        <w:t xml:space="preserve">be thus made out: 1. his arrival in Jerusalem, ch. xxi. 15–17; 2. his interview</w:t>
        <w:br w:type="textWrapping"/>
        <w:t xml:space="preserve">with James, ib. 18 ff; 3. his taking on</w:t>
        <w:br w:type="textWrapping"/>
        <w:t xml:space="preserve">him the vow, ib. 26; 3–7. the time of</w:t>
        <w:br w:type="textWrapping"/>
        <w:t xml:space="preserve">the vow, interrupted by—7. his apprehension, ch. xxi. 27; 8. his appearance before</w:t>
        <w:br w:type="textWrapping"/>
        <w:t xml:space="preserve">the Sanhedrim, ch. xxii. 30 ff; 9. his departure from Jerusalem (at night); and so</w:t>
        <w:br w:type="textWrapping"/>
        <w:t xml:space="preserve">to the 13th, the day now current, which</w:t>
        <w:br w:type="textWrapping"/>
        <w:t xml:space="preserve">was the 5th inclusive from his leaving Jerusalem. This is far more natural than to</w:t>
        <w:br w:type="textWrapping"/>
        <w:t xml:space="preserve">suppose that the days which he had already</w:t>
        <w:br w:type="textWrapping"/>
        <w:t xml:space="preserve">spent at Cæsarea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be counted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dNtcdSjOjeMkNmdBDBiHf42IQ==">CgMxLjA4AHIhMVYzOVV6TkF3djNkNjBkT1haZjlUQ3IzOFFhTXdwOXA3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