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incredible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doctrine of the resurrection.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not, as commonly rendered,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God should raise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(E. V.):</w:t>
        <w:br w:type="textWrapping"/>
        <w:t xml:space="preserve">but the question is far stronger than this: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why is it judged by you a thing past</w:t>
        <w:br w:type="textWrapping"/>
        <w:t xml:space="preserve">belief, if God raises the dead?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God,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His exercise of power, sees fit to raise</w:t>
        <w:br w:type="textWrapping"/>
        <w:t xml:space="preserve">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implying that such a</w:t>
        <w:br w:type="textWrapping"/>
        <w:t xml:space="preserve">fact has veritably taken place),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it for</w:t>
        <w:br w:type="textWrapping"/>
        <w:t xml:space="preserve">you to refuse to believe it?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Henceforward he passes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history,—how he once refused, like them, to</w:t>
        <w:br w:type="textWrapping"/>
        <w:t xml:space="preserve">believe in Jesus: and shews them both the</w:t>
        <w:br w:type="textWrapping"/>
        <w:t xml:space="preserve">process of his conversion, and the ministry</w:t>
        <w:br w:type="textWrapping"/>
        <w:t xml:space="preserve">with which he was entrusted to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10, 11.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persecution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viii. 1. We are surprised</w:t>
        <w:br w:type="textWrapping"/>
        <w:t xml:space="preserve">here by the unexpected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</w:t>
        <w:br w:type="textWrapping"/>
        <w:t xml:space="preserve">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which it might have been thought</w:t>
        <w:br w:type="textWrapping"/>
        <w:t xml:space="preserve">he would have rather in this presence</w:t>
        <w:br w:type="textWrapping"/>
        <w:t xml:space="preserve">avoided. But, as Stier remarks, it belongs</w:t>
        <w:br w:type="textWrapping"/>
        <w:t xml:space="preserve">to the more confident tone of this speech,</w:t>
        <w:br w:type="textWrapping"/>
        <w:t xml:space="preserve">which he delivers, not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prisoner defending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as one being heard before</w:t>
        <w:br w:type="textWrapping"/>
        <w:t xml:space="preserve">those who were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audience, not his judges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gave my vote against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  <w:br w:type="textWrapping"/>
        <w:t xml:space="preserve">hardly be taken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figuratively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many</w:t>
        <w:br w:type="textWrapping"/>
        <w:t xml:space="preserve">Commentators, trying to escape from the</w:t>
        <w:br w:type="textWrapping"/>
        <w:t xml:space="preserve">inference that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young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Saul was</w:t>
        <w:br w:type="textWrapping"/>
        <w:t xml:space="preserve">a member of the Sanhedrim; but must be</w:t>
        <w:br w:type="textWrapping"/>
        <w:t xml:space="preserve">understood as testifying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very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however strange it may seem. He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hardly have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thirty, when</w:t>
        <w:br w:type="textWrapping"/>
        <w:t xml:space="preserve">sent on his errand of persecution to</w:t>
        <w:br w:type="textWrapping"/>
        <w:t xml:space="preserve">Damascus. On the fact, compare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Saul was consenting unto his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ch. viii. 1.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 punished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scourging;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comp. Matt. x.</w:t>
        <w:br w:type="textWrapping"/>
        <w:t xml:space="preserve">17.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compelled them to blaspheme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does</w:t>
        <w:br w:type="textWrapping"/>
        <w:t xml:space="preserve">not imply that any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blaspheme (Christ:</w:t>
        <w:br w:type="textWrapping"/>
        <w:t xml:space="preserve">so Pliny, in his celebrated Epistle, speaks</w:t>
        <w:br w:type="textWrapping"/>
        <w:t xml:space="preserve">of ordering the Bithynian Christians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to</w:t>
        <w:br w:type="textWrapping"/>
        <w:t xml:space="preserve">curse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adds, that he hears none</w:t>
        <w:br w:type="textWrapping"/>
        <w:t xml:space="preserve">can be compelled to do this who are really</w:t>
        <w:br w:type="textWrapping"/>
        <w:t xml:space="preserve">Christians): the verb only relates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attempt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persecuting the Christians</w:t>
        <w:br w:type="textWrapping"/>
        <w:t xml:space="preserve">even to foreign cities, forms the transition</w:t>
        <w:br w:type="textWrapping"/>
        <w:t xml:space="preserve">to the narrative following.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 Whereupon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which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</w:t>
        <w:br w:type="textWrapping"/>
        <w:t xml:space="preserve">engaged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notes on ch. ix.</w:t>
        <w:br w:type="textWrapping"/>
        <w:t xml:space="preserve">3–8, where I have treated of the discrepancies, real or only apparent, between the</w:t>
        <w:br w:type="textWrapping"/>
        <w:t xml:space="preserve">three accounts of Saul’s conversion. See</w:t>
        <w:br w:type="textWrapping"/>
        <w:t xml:space="preserve">also ch. xxii. 6–10.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 in the Hebrew tongue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These words are expressed</w:t>
        <w:br w:type="textWrapping"/>
        <w:t xml:space="preserve">here only. In ch. ix. we have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remarkably preserved by the Hebrew form</w:t>
        <w:br w:type="textWrapping"/>
        <w:t xml:space="preserve">in the original; in ch. xxii. he was speaking in Hebrew, and the notice was not</w:t>
        <w:br w:type="textWrapping"/>
        <w:t xml:space="preserve">required.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is hard for thee to kick</w:t>
        <w:br w:type="textWrapping"/>
        <w:t xml:space="preserve">against the pricks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is found here</w:t>
        <w:br w:type="textWrapping"/>
        <w:t xml:space="preserve">only; in ch. ix. the words are spurious,</w:t>
        <w:br w:type="textWrapping"/>
        <w:t xml:space="preserve">having been inserted from this place. The</w:t>
        <w:br w:type="textWrapping"/>
        <w:t xml:space="preserve">metaphor is derived from oxen at plough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7NwL5xImXFBu1khQ9yxIu0xH3w==">CgMxLjA4AHIhMVR1dmVpTk8xRlQ4OWtub2dzU29ibjFvY09OaWxCRDJN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