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expressions here;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received all who came</w:t>
        <w:br w:type="textWrapping"/>
        <w:t xml:space="preserve">in to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we do not hear of his preaching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synagogues or elsewhere: he</w:t>
        <w:br w:type="textWrapping"/>
        <w:t xml:space="preserve">preached and taught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all boldness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unhindered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both being mentioned as remarkable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circumstances, and implying that</w:t>
        <w:br w:type="textWrapping"/>
        <w:t xml:space="preserve">there were reasons why this could hardly</w:t>
        <w:br w:type="textWrapping"/>
        <w:t xml:space="preserve">have been expected: and (2) from his constantly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speaking of himself in the Epistles</w:t>
        <w:br w:type="textWrapping"/>
        <w:t xml:space="preserve">written during it, 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prisoner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Eph.</w:t>
        <w:br w:type="textWrapping"/>
        <w:t xml:space="preserve">vi. 19, 20; Col. iv. 3, 4; Philem. 9;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hilipp. frequently. On the whole question</w:t>
        <w:br w:type="textWrapping"/>
        <w:t xml:space="preserve">regarding the chronology of his imprisonment,—and 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reason of this abrupt</w:t>
        <w:br w:type="textWrapping"/>
        <w:t xml:space="preserve">ending of the history,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Introduction to</w:t>
        <w:br w:type="textWrapping"/>
        <w:t xml:space="preserve">Acts, § iv. 3—7:—and on its probable</w:t>
        <w:br w:type="textWrapping"/>
        <w:t xml:space="preserve">termination and the close of St. Paul’s life,</w:t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the Introduction to the Pastoral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Epistles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§ ii.17 ff.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wvxb07JEJBRXGIzKS4t7S1k8sA==">CgMxLjA4AHIhMXFxUDZ5WnloQ1VtVHk5VlFvMlNNLWpmNG5vSXVDUVcz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