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God.”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We find a much nearer approximation</w:t>
        <w:br w:type="textWrapping"/>
        <w:t xml:space="preserve">to the Alexandrine method of</w:t>
        <w:br w:type="textWrapping"/>
        <w:t xml:space="preserve">speech in the Epistle to the Hebrews,</w:t>
        <w:br w:type="textWrapping"/>
        <w:t xml:space="preserve">written evidently by some disciple intimately</w:t>
        <w:br w:type="textWrapping"/>
        <w:t xml:space="preserve">acquainted with the Alexandrine</w:t>
        <w:br w:type="textWrapping"/>
        <w:t xml:space="preserve">gnosis (see the opening verses, and especially 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upholding all things by the word of</w:t>
        <w:br w:type="textWrapping"/>
        <w:t xml:space="preserve">His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”). But even 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have</w:t>
        <w:br w:type="textWrapping"/>
        <w:t xml:space="preserve">not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“Logos”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identified personally</w:t>
        <w:br w:type="textWrapping"/>
        <w:t xml:space="preserve">with the Lord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indeed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personally spoken so at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—however</w:t>
        <w:br w:type="textWrapping"/>
        <w:t xml:space="preserve">near some passages may seem to approach</w:t>
        <w:br w:type="textWrapping"/>
        <w:t xml:space="preserve">to this usage (ch.iv. 12, 13; xi.3).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</w:t>
        <w:br w:type="textWrapping"/>
        <w:t xml:space="preserve">Alexandrine gnosis was immediately connected </w:t>
        <w:br w:type="textWrapping"/>
        <w:t xml:space="preserve">with Ephesus, where the Gospel</w:t>
        <w:br w:type="textWrapping"/>
        <w:t xml:space="preserve">of John was probably written. Apollos</w:t>
        <w:br w:type="textWrapping"/>
        <w:t xml:space="preserve">(Acts xviii. 24) came thither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Alexandria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  <w:br w:type="textWrapping"/>
        <w:t xml:space="preserve">and Cerinthus is related by Theodoret</w:t>
        <w:br w:type="textWrapping"/>
        <w:t xml:space="preserve">to have studied and formed his philosophic </w:t>
        <w:br w:type="textWrapping"/>
        <w:t xml:space="preserve">system in Egypt, before coming</w:t>
        <w:br w:type="textWrapping"/>
        <w:t xml:space="preserve">to Ephesus.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These notices will serve</w:t>
        <w:br w:type="textWrapping"/>
        <w:t xml:space="preserve">to account for the term “Logos” being</w:t>
        <w:br w:type="textWrapping"/>
        <w:t xml:space="preserve">already found by St. John framed to his</w:t>
        <w:br w:type="textWrapping"/>
        <w:t xml:space="preserve">use; and the anti-Gnostic tendency of his</w:t>
        <w:br w:type="textWrapping"/>
        <w:t xml:space="preserve">writings will furnish an additional reason</w:t>
        <w:br w:type="textWrapping"/>
        <w:t xml:space="preserve">why he should rescue such important</w:t>
        <w:br w:type="textWrapping"/>
        <w:t xml:space="preserve">truths as the pre-existence and attributes</w:t>
        <w:br w:type="textWrapping"/>
        <w:t xml:space="preserve">of the divine “Word” from the perversions</w:t>
        <w:br w:type="textWrapping"/>
        <w:t xml:space="preserve">which false philosophy had begun to</w:t>
        <w:br w:type="textWrapping"/>
        <w:t xml:space="preserve">make of them.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In all that has been</w:t>
        <w:br w:type="textWrapping"/>
        <w:t xml:space="preserve">said in this note, no insinuation has been</w:t>
        <w:br w:type="textWrapping"/>
        <w:t xml:space="preserve">conveyed that either the Apostle Paul, or</w:t>
        <w:br w:type="textWrapping"/>
        <w:t xml:space="preserve">the Writer to the Hebrews, or John,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adopted in any degree their TEACHING</w:t>
        <w:br w:type="textWrapping"/>
        <w:t xml:space="preserve">from the existing philosophies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Their</w:t>
        <w:br w:type="textWrapping"/>
        <w:t xml:space="preserve">teaching (which is totally distinct from</w:t>
        <w:br w:type="textWrapping"/>
        <w:t xml:space="preserve">any of those philosophies, as will be</w:t>
        <w:br w:type="textWrapping"/>
        <w:t xml:space="preserve">shewn in this commentary) is that of the</w:t>
        <w:br w:type="textWrapping"/>
        <w:t xml:space="preserve">Holy Spirit;—and the existing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philosophics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with all their follies and inadequacies,</w:t>
        <w:br w:type="textWrapping"/>
        <w:t xml:space="preserve">must be regarded,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so far as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  <w:br w:type="textWrapping"/>
        <w:t xml:space="preserve">their terms or ideas subserved the work</w:t>
        <w:br w:type="textWrapping"/>
        <w:t xml:space="preserve">which the Spirit had to do by the Apostles</w:t>
        <w:br w:type="textWrapping"/>
        <w:t xml:space="preserve">and teachers of Christianity, as so many</w:t>
        <w:br w:type="textWrapping"/>
        <w:t xml:space="preserve">providential preparations of the minds of</w:t>
        <w:br w:type="textWrapping"/>
        <w:t xml:space="preserve">men to receive the fuller effulgence of</w:t>
        <w:br w:type="textWrapping"/>
        <w:t xml:space="preserve">the Truth as it is in Jesus, which shines</w:t>
        <w:br w:type="textWrapping"/>
        <w:t xml:space="preserve">forth in these Scriptures.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beginning]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Equivalent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 the world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ch. xvii. 5. The</w:t>
        <w:br w:type="textWrapping"/>
        <w:t xml:space="preserve">expression is indefinite, and must be interpreted</w:t>
        <w:br w:type="textWrapping"/>
        <w:t xml:space="preserve">relatively to the matter spoken of.</w:t>
        <w:br w:type="textWrapping"/>
        <w:t xml:space="preserve">‘Thus in Acts xi. 15, it is “the beginning of</w:t>
        <w:br w:type="textWrapping"/>
        <w:t xml:space="preserve">the Gospel:” and by the same principle of</w:t>
        <w:br w:type="textWrapping"/>
        <w:t xml:space="preserve">interpretation,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beginning</w:t>
        <w:br w:type="textWrapping"/>
        <w:t xml:space="preserve">of 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account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things</w:t>
        <w:br w:type="textWrapping"/>
        <w:t xml:space="preserve">were made by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ver. 3.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These</w:t>
        <w:br w:type="textWrapping"/>
        <w:t xml:space="preserve">words, if they do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at least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eternal pre-existence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divine Word. For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in the beginning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said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done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  <w:br w:type="textWrapping"/>
        <w:t xml:space="preserve">beginning (as in Gen. i. 1), but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  <w:br w:type="textWrapping"/>
        <w:t xml:space="preserve">existing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beginning, and therefore</w:t>
        <w:br w:type="textWrapping"/>
        <w:t xml:space="preserve">without beginning itself.   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(see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viii.</w:t>
        <w:br w:type="textWrapping"/>
        <w:t xml:space="preserve">58 al.), as Euthymius and others have</w:t>
        <w:br w:type="textWrapping"/>
        <w:t xml:space="preserve">supposed ; but Origen has given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reason for the indefinite past being used,—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would have been more strict, in</w:t>
        <w:br w:type="textWrapping"/>
        <w:t xml:space="preserve">speaking of God the Word, to say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</w:t>
        <w:br w:type="textWrapping"/>
        <w:t xml:space="preserve">seeing that he is speaking with reference</w:t>
        <w:br w:type="textWrapping"/>
        <w:t xml:space="preserve">to the distinction of the Incarnation, which</w:t>
        <w:br w:type="textWrapping"/>
        <w:t xml:space="preserve">took place at a certain time, the Evangelist</w:t>
        <w:br w:type="textWrapping"/>
        <w:t xml:space="preserve">uses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instead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exist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an enduring and unlimited state</w:t>
        <w:br w:type="textWrapping"/>
        <w:t xml:space="preserve">of being, implied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contrasted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(the</w:t>
        <w:br w:type="textWrapping"/>
        <w:t xml:space="preserve">word is the same) in verses 3 and 14.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rd was with God] ‘With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used in the sense of “chez,”</w:t>
        <w:br w:type="textWrapping"/>
        <w:t xml:space="preserve">abiding with. Basil remarks that St.</w:t>
        <w:br w:type="textWrapping"/>
        <w:t xml:space="preserve">John says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God, that</w:t>
        <w:br w:type="textWrapping"/>
        <w:t xml:space="preserve">he may set before us the distinctness of</w:t>
        <w:br w:type="textWrapping"/>
        <w:t xml:space="preserve">Person: . . . that he may give no openin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the confusion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Both</w:t>
        <w:br w:type="textWrapping"/>
        <w:t xml:space="preserve">the inner substantial union, and the distinct</w:t>
        <w:br w:type="textWrapping"/>
        <w:t xml:space="preserve">personality of the “ Word ” are here</w:t>
        <w:br w:type="textWrapping"/>
        <w:t xml:space="preserve">asserted.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is distinctly repeated</w:t>
        <w:br w:type="textWrapping"/>
        <w:t xml:space="preserve">in the next words.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 was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form of</w:t>
        <w:br w:type="textWrapping"/>
        <w:t xml:space="preserve">the sentence;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was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absolutely required by the usage of</w:t>
        <w:br w:type="textWrapping"/>
        <w:t xml:space="preserve">the Greek language: see in my Gr. Test.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conveyed here is as</w:t>
        <w:br w:type="textWrapping"/>
        <w:t xml:space="preserve">weighty a consideration as the form of</w:t>
        <w:br w:type="textWrapping"/>
        <w:t xml:space="preserve">the sentence. Had St. John intended to</w:t>
        <w:br w:type="textWrapping"/>
        <w:t xml:space="preserve">say,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was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—what meaning</w:t>
        <w:br w:type="textWrapping"/>
        <w:t xml:space="preserve">could his assertion possibly have conveyed? </w:t>
        <w:br w:type="textWrapping"/>
        <w:t xml:space="preserve">None other than a contradiction</w:t>
        <w:br w:type="textWrapping"/>
        <w:t xml:space="preserve">to his last assertion, by which he had</w:t>
        <w:br w:type="textWrapping"/>
        <w:t xml:space="preserve">distinguished God from the Word. And</w:t>
        <w:br w:type="textWrapping"/>
        <w:t xml:space="preserve">not only would this be the case, but the</w:t>
        <w:br w:type="textWrapping"/>
        <w:t xml:space="preserve">assertion would be inconsistent with the </w:t>
        <w:br w:type="textWrapping"/>
        <w:t xml:space="preserve">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 historical idea of the Word, making:</w:t>
        <w:br w:type="textWrapping"/>
        <w:t xml:space="preserve">this term to signify merely an attribute</w:t>
        <w:br w:type="textWrapping"/>
        <w:t xml:space="preserve">of God, just as when it is said,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is</w:t>
        <w:br w:type="textWrapping"/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Not to mention the unprecedented</w:t>
        <w:br w:type="textWrapping"/>
        <w:t xml:space="preserve">inversion of subject and predicate which</w:t>
        <w:br w:type="textWrapping"/>
        <w:t xml:space="preserve">this would occasion;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  <w:br w:type="textWrapping"/>
        <w:t xml:space="preserve">been the subject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again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resumed</w:t>
        <w:br w:type="textWrapping"/>
        <w:t xml:space="preserve">as the subject afterwards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rendering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words being then as above,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next question.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the grammatical reasons in my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Test.) must be taken as implying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substance and essence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‘the Father,’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mean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nor is it to be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”—but, as</w:t>
        <w:br w:type="textWrapping"/>
        <w:t xml:space="preserve">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expresses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which the Divine Word entered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D4PuE48B63Em19gp5yrvg7lJHw==">AMUW2mU/tup/Nk60xdcZnVC2yvoc//csFV3PCh1hIdjZf4n8AGt6YVMkcQCm1LrT0bibuhpnTjAqCYOmz+/P0Qs0ciM2VaK+d919GtmS3k6BGpTGcEZLEyQ=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