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God” (which rendering in the A. V. is</w:t>
        <w:br w:type="textWrapping"/>
        <w:t xml:space="preserve">entirely without authority), which brings</w:t>
        <w:br w:type="textWrapping"/>
        <w:t xml:space="preserve">out rather our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adoption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hope of inheritance (Rom. viii. 14 ff.), whereas the</w:t>
        <w:br w:type="textWrapping"/>
        <w:t xml:space="preserve">other involves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whole generation and</w:t>
        <w:br w:type="textWrapping"/>
        <w:t xml:space="preserve">process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our life in the Spirit, as being</w:t>
        <w:br w:type="textWrapping"/>
        <w:t xml:space="preserve">from and of God, and consequently our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likeness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God, walking in light as He</w:t>
        <w:br w:type="textWrapping"/>
        <w:t xml:space="preserve">is in light (1 John i. 5—7)—free from</w:t>
        <w:br w:type="textWrapping"/>
        <w:t xml:space="preserve">sin (ib. iii. 9; v.18) and death (ch. viii.</w:t>
        <w:br w:type="textWrapping"/>
        <w:t xml:space="preserve">51).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them that believe on his</w:t>
        <w:br w:type="textWrapping"/>
        <w:t xml:space="preserve">name] His name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 manifestation as</w:t>
        <w:br w:type="textWrapping"/>
        <w:t xml:space="preserve">that which He has given Himself out to be:</w:t>
        <w:br w:type="textWrapping"/>
        <w:t xml:space="preserve">i.e. as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Saviour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from sin;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Matt. i.</w:t>
        <w:br w:type="textWrapping"/>
        <w:t xml:space="preserve">21,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Thou shalt call his name Jesus; for</w:t>
        <w:br w:type="textWrapping"/>
        <w:t xml:space="preserve">He himself shall save His people from</w:t>
        <w:br w:type="textWrapping"/>
        <w:t xml:space="preserve">their sins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13.]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Jews grounded</w:t>
        <w:br w:type="textWrapping"/>
        <w:t xml:space="preserve">their claim to be children of God on their</w:t>
        <w:br w:type="textWrapping"/>
        <w:t xml:space="preserve">descent from Abraham. St. John here</w:t>
        <w:br w:type="textWrapping"/>
        <w:t xml:space="preserve">negatives any such claim, and asserts the</w:t>
        <w:br w:type="textWrapping"/>
        <w:t xml:space="preserve">exclusive divine birth of all who become</w:t>
        <w:br w:type="textWrapping"/>
        <w:t xml:space="preserve">children of God by faith. It is to be noticed</w:t>
        <w:br w:type="textWrapping"/>
        <w:t xml:space="preserve">that the conjunctions here are not</w:t>
        <w:br w:type="textWrapping"/>
        <w:t xml:space="preserve">merely disjunctive ones, which would necessitate</w:t>
        <w:br w:type="textWrapping"/>
        <w:t xml:space="preserve">the ranging the clauses as co-ordinate </w:t>
        <w:br w:type="textWrapping"/>
        <w:t xml:space="preserve">and parallel, but exclusive ones, which</w:t>
        <w:br w:type="textWrapping"/>
        <w:t xml:space="preserve">rise in climax from one clause to another,—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blood,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nor yet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will of the</w:t>
        <w:br w:type="textWrapping"/>
        <w:t xml:space="preserve">flesh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nor yet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 will of man,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God.’</w:t>
        <w:br w:type="textWrapping"/>
        <w:t xml:space="preserve">-Many Interpreters have seen in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will of</w:t>
        <w:br w:type="textWrapping"/>
        <w:t xml:space="preserve">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(the word in the original is that expressing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distinguished from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the male, and in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will of the</w:t>
        <w:br w:type="textWrapping"/>
        <w:t xml:space="preserve">flesh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the female side of human concupiscence </w:t>
        <w:br w:type="textWrapping"/>
        <w:t xml:space="preserve">(so Augustine, Theophylact, &amp;c.) ;</w:t>
        <w:br w:type="textWrapping"/>
        <w:t xml:space="preserve">or in the former the higher and more conscious,</w:t>
        <w:br w:type="textWrapping"/>
        <w:t xml:space="preserve">in the latter the lower and animal</w:t>
        <w:br w:type="textWrapping"/>
        <w:t xml:space="preserve">side (Bleek, Luthardt). But both these</w:t>
        <w:br w:type="textWrapping"/>
        <w:t xml:space="preserve">interpretations seem to be objectionable.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14.]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must not be understood</w:t>
        <w:br w:type="textWrapping"/>
        <w:t xml:space="preserve">as giving a reason for the verse before; it</w:t>
        <w:br w:type="textWrapping"/>
        <w:t xml:space="preserve">is only the same copula as in vv. 1,3,4,5;</w:t>
        <w:br w:type="textWrapping"/>
        <w:t xml:space="preserve">sing on to a further assertion regarding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Word.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became flesh]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most</w:t>
        <w:br w:type="textWrapping"/>
        <w:t xml:space="preserve">general expression of the great truth that</w:t>
        <w:br w:type="textWrapping"/>
        <w:t xml:space="preserve">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became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He became that, of which</w:t>
        <w:br w:type="textWrapping"/>
        <w:t xml:space="preserve">man is in the body compounded. ‘There is</w:t>
        <w:br w:type="textWrapping"/>
        <w:t xml:space="preserve">no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reference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here to the doctrine of the</w:t>
        <w:br w:type="textWrapping"/>
        <w:t xml:space="preserve">Lord Jesus being the second Adam, as</w:t>
        <w:br w:type="textWrapping"/>
        <w:t xml:space="preserve">Olshausen thinks ; but although there may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reference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it,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lies at the ground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this wideness of expression. The doctrine</w:t>
        <w:br w:type="textWrapping"/>
        <w:t xml:space="preserve">in this form may have been, as Lücke</w:t>
        <w:br w:type="textWrapping"/>
        <w:t xml:space="preserve">observes, alien to St. John’s habits of</w:t>
        <w:br w:type="textWrapping"/>
        <w:t xml:space="preserve">thought, but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which is implied in</w:t>
        <w:br w:type="textWrapping"/>
        <w:t xml:space="preserve">the doctrine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taking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nature of</w:t>
        <w:br w:type="textWrapping"/>
        <w:t xml:space="preserve">man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the Eternal Word.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simplicity of this expression is no doubt directed</w:t>
        <w:br w:type="textWrapping"/>
        <w:t xml:space="preserve">against’ the Docet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Apostle’s time,</w:t>
        <w:br w:type="textWrapping"/>
        <w:t xml:space="preserve">who maintained that the Word only apparently </w:t>
        <w:br w:type="textWrapping"/>
        <w:t xml:space="preserve">took human nature. Therefore he</w:t>
        <w:br w:type="textWrapping"/>
        <w:t xml:space="preserve">says, absolutely and literally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flesh:</w:t>
        <w:br w:type="textWrapping"/>
        <w:t xml:space="preserve">—see 1 John iv. 2. The word rendered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dwelt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properly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‘sojourned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or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‘tabernacled,’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us. There is no reference</w:t>
        <w:br w:type="textWrapping"/>
        <w:t xml:space="preserve">to the flesh being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tabernacle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</w:t>
        <w:br w:type="textWrapping"/>
        <w:t xml:space="preserve">Spirit ;—but the word is one technically</w:t>
        <w:br w:type="textWrapping"/>
        <w:t xml:space="preserve">used in Scripture to import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dwelling</w:t>
        <w:br w:type="textWrapping"/>
        <w:t xml:space="preserve">of God among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“men, who</w:t>
        <w:br w:type="textWrapping"/>
        <w:t xml:space="preserve">are flesh,” Bengel.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beheld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</w:t>
        <w:br w:type="textWrapping"/>
        <w:t xml:space="preserve">1 John i. 1; 2 Pet. i. 16. This is the</w:t>
        <w:br w:type="textWrapping"/>
        <w:t xml:space="preserve">Apostle’s testimony as such, see Acts i. 21.</w:t>
        <w:br w:type="textWrapping"/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mention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glory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seems to be</w:t>
        <w:br w:type="textWrapping"/>
        <w:t xml:space="preserve">suggested by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tabernacled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so frequently </w:t>
        <w:br w:type="textWrapping"/>
        <w:t xml:space="preserve">used of the divine Presence 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Shechinah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cognate in its very form</w:t>
        <w:br w:type="textWrapping"/>
        <w:t xml:space="preserve">with it.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glory was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 by the</w:t>
        <w:br w:type="textWrapping"/>
        <w:t xml:space="preserve">disciples, ch. ii, 11; xi. 4: also by Peter,</w:t>
        <w:br w:type="textWrapping"/>
        <w:t xml:space="preserve">James, and John, specially, on the mount</w:t>
        <w:br w:type="textWrapping"/>
        <w:t xml:space="preserve">of transfiguration : to which occasion the</w:t>
        <w:br w:type="textWrapping"/>
        <w:t xml:space="preserve">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of the only-begotten from the</w:t>
        <w:br w:type="textWrapping"/>
        <w:t xml:space="preserve">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seem to refer: but mainly, in the</w:t>
        <w:br w:type="textWrapping"/>
        <w:t xml:space="preserve">whole converse and teaching and suffering</w:t>
        <w:br w:type="textWrapping"/>
        <w:t xml:space="preserve">of the Lord, who was full of grace and truth,</w:t>
        <w:br w:type="textWrapping"/>
        <w:t xml:space="preserve">see below. On the 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Chrysostom</w:t>
        <w:br w:type="textWrapping"/>
        <w:t xml:space="preserve">remarks that ‘it is not a word of mere</w:t>
        <w:br w:type="textWrapping"/>
        <w:t xml:space="preserve">likeness, or comparison, but of confirmation,</w:t>
        <w:br w:type="textWrapping"/>
        <w:t xml:space="preserve">and unquestionable endowment: as</w:t>
        <w:br w:type="textWrapping"/>
        <w:t xml:space="preserve">if he had said, We saw glory such as became, </w:t>
        <w:br w:type="textWrapping"/>
        <w:t xml:space="preserve">and such as was likely would be possessed</w:t>
        <w:br w:type="textWrapping"/>
        <w:t xml:space="preserve">by, the only begotten and genuine</w:t>
        <w:br w:type="textWrapping"/>
        <w:t xml:space="preserve">Son of God the King of all.”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only-begotten]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word applied to Christ is</w:t>
        <w:br w:type="textWrapping"/>
        <w:t xml:space="preserve">peculiar to John, and occurs in ver. 18;</w:t>
        <w:br w:type="textWrapping"/>
        <w:t xml:space="preserve">ch. 16,18; 1 John iv. 9 only. In the</w:t>
        <w:br w:type="textWrapping"/>
        <w:t xml:space="preserve">N. T. usage it signifies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son :—in</w:t>
        <w:br w:type="textWrapping"/>
        <w:t xml:space="preserve">the LXX, Ps. xxii. (xxi. 21 of the LXX) 20</w:t>
        <w:br w:type="textWrapping"/>
        <w:t xml:space="preserve">(Heb.,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only one from the hand of the</w:t>
        <w:br w:type="textWrapping"/>
        <w:t xml:space="preserve">dog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beloved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has been attempted</w:t>
        <w:br w:type="textWrapping"/>
        <w:t xml:space="preserve">to render the word in John, 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ording to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2EVZCtaxVGkL0A4MxFkwnT28kjA==">AMUW2mVJmWGnUm0Mlqmm9wtXXqLXxm3dn/dH+nXsYQjEq4heTmnlNMC8BKHnQ8hN3kNzA516Ls0tUBAeHGc1HgrfFbisCjDWMVJdYFJdUSKTfVl3ftQ1/p8=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