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usage in Ps. xxi. 20. But obviously in</w:t>
        <w:br w:type="textWrapping"/>
        <w:t xml:space="preserve">the midst of ideas reaching so far deeper</w:t>
        <w:br w:type="textWrapping"/>
        <w:t xml:space="preserve">than that of regard, or love, of the Father</w:t>
        <w:br w:type="textWrapping"/>
        <w:t xml:space="preserve">for the Son, the word cannot be interpreted</w:t>
        <w:br w:type="textWrapping"/>
        <w:t xml:space="preserve">except in accordance with them. It refers</w:t>
        <w:br w:type="textWrapping"/>
        <w:t xml:space="preserve">to, and contrasts with, the children of God</w:t>
        <w:br w:type="textWrapping"/>
        <w:t xml:space="preserve">in vv. 12,13.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 divine</w:t>
        <w:br w:type="textWrapping"/>
        <w:t xml:space="preserve">birth by faith in Him, and through</w:t>
        <w:br w:type="textWrapping"/>
        <w:t xml:space="preserve">Him; but HE is the Only-begotten of</w:t>
        <w:br w:type="textWrapping"/>
        <w:t xml:space="preserve">the Father in the higher sense, in which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begotten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Son of God.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full of grace and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the</w:t>
        <w:br w:type="textWrapping"/>
        <w:t xml:space="preserve">note in my Gr. Test.) belong probably to</w:t>
        <w:br w:type="textWrapping"/>
        <w:t xml:space="preserve">the last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only-begotten of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there is no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parenthesis, as in A. V.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 and truth]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equivalent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 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</w:t>
        <w:br w:type="textWrapping"/>
        <w:t xml:space="preserve">destroys the precision of the expression,</w:t>
        <w:br w:type="textWrapping"/>
        <w:t xml:space="preserve">and itself conveys no sense whatever ;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setting out the two sides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divine</w:t>
        <w:br w:type="textWrapping"/>
        <w:t xml:space="preserve">manifestation in Christ,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</w:t>
        <w:br w:type="textWrapping"/>
        <w:t xml:space="preserve">result of Love to mankind,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</w:t>
        <w:br w:type="textWrapping"/>
        <w:t xml:space="preserve">xiv. 6), as the unity, purity, and light of</w:t>
        <w:br w:type="textWrapping"/>
        <w:t xml:space="preserve">His own Character.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testimony </w:t>
        <w:br w:type="textWrapping"/>
        <w:t xml:space="preserve">of John, so important as being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very object for which he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sent 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in this prologue</w:t>
        <w:br w:type="textWrapping"/>
        <w:t xml:space="preserve">ranged, so to speak, parallel with the</w:t>
        <w:br w:type="textWrapping"/>
        <w:t xml:space="preserve">assertions and testimony of the Evangelist</w:t>
        <w:br w:type="textWrapping"/>
        <w:t xml:space="preserve">himself. So that this verse does not interrupt </w:t>
        <w:br w:type="textWrapping"/>
        <w:t xml:space="preserve">the train of thought, but confirms</w:t>
        <w:br w:type="textWrapping"/>
        <w:t xml:space="preserve">by this important testimony the assertion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 became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shewing that</w:t>
        <w:br w:type="textWrapping"/>
        <w:t xml:space="preserve">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bore witness to His pre-existence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Then (ver. 16)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 of grace and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again taken up. Euthymius</w:t>
        <w:br w:type="textWrapping"/>
        <w:t xml:space="preserve">paraphrases: “Even if I,” says the Evangelist,</w:t>
        <w:br w:type="textWrapping"/>
        <w:t xml:space="preserve">“may perhaps seem to some not</w:t>
        <w:br w:type="textWrapping"/>
        <w:t xml:space="preserve">worthy of credit, yet before me John witnesseth </w:t>
        <w:br w:type="textWrapping"/>
        <w:t xml:space="preserve">to His Godhead, that John, whose</w:t>
        <w:br w:type="textWrapping"/>
        <w:t xml:space="preserve">name is great and celebrated among all</w:t>
        <w:br w:type="textWrapping"/>
        <w:t xml:space="preserve">the Jews.”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beareth witness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for solemnity—as part of the testimony to</w:t>
        <w:br w:type="textWrapping"/>
        <w:t xml:space="preserve">Him, not only once given, but still sub-</w:t>
        <w:br w:type="textWrapping"/>
        <w:t xml:space="preserve">sisting.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crieth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original,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being, in sense,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‘hath</w:t>
        <w:br w:type="textWrapping"/>
        <w:t xml:space="preserve">cried,’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that the voice is still sounding),</w:t>
        <w:br w:type="textWrapping"/>
        <w:t xml:space="preserve">see ch. vii. 37: “John crieth out with</w:t>
        <w:br w:type="textWrapping"/>
        <w:t xml:space="preserve">confidence and joy, as becometh a great</w:t>
        <w:br w:type="textWrapping"/>
        <w:t xml:space="preserve">herald.” Bengel.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was he of whom I spake . . 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reference to a</w:t>
        <w:br w:type="textWrapping"/>
        <w:t xml:space="preserve">former saying seems to shew,as indeed would</w:t>
        <w:br w:type="textWrapping"/>
        <w:t xml:space="preserve">appear from the announcement of his own</w:t>
        <w:br w:type="textWrapping"/>
        <w:t xml:space="preserve">office by the Baptist, that he had 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tered these words in the power of the</w:t>
        <w:br w:type="textWrapping"/>
        <w:t xml:space="preserve">Spirit concerning Him whose forerunner</w:t>
        <w:br w:type="textWrapping"/>
        <w:t xml:space="preserve">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he saw and recognized</w:t>
        <w:br w:type="textWrapping"/>
        <w:t xml:space="preserve">Him in the flesh.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doing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</w:t>
        <w:br w:type="textWrapping"/>
        <w:t xml:space="preserve">exclaimed,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was He of whom I 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&amp;c. This view seems to be borne out.</w:t>
        <w:br w:type="textWrapping"/>
        <w:t xml:space="preserve">by his own statement, ver. 33, and by</w:t>
        <w:br w:type="textWrapping"/>
        <w:t xml:space="preserve">the order of the narrative in Matt. iii. 11,</w:t>
        <w:br w:type="textWrapping"/>
        <w:t xml:space="preserve">12, 13.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 after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point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 or principally,</w:t>
        <w:br w:type="textWrapping"/>
        <w:t xml:space="preserve">nor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commencement of official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but,</w:t>
        <w:br w:type="textWrapping"/>
        <w:t xml:space="preserve">inasmuch as John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Forerunner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on account of official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taketh place before 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expression,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taketh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represents one, in the original,</w:t>
        <w:br w:type="textWrapping"/>
        <w:t xml:space="preserve">very difficult to render in English. It</w:t>
        <w:br w:type="textWrapping"/>
        <w:t xml:space="preserve">is the same word as that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</w:t>
        <w:br w:type="textWrapping"/>
        <w:t xml:space="preserve">been made”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8: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come to be,</w:t>
        <w:br w:type="textWrapping"/>
        <w:t xml:space="preserve">is constituted.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preferred,”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very suitable, setting forth the</w:t>
        <w:br w:type="textWrapping"/>
        <w:t xml:space="preserve">advancement to official dignity before which</w:t>
        <w:br w:type="textWrapping"/>
        <w:t xml:space="preserve">John’s office waned and decreased (ch. iii.</w:t>
        <w:br w:type="textWrapping"/>
        <w:t xml:space="preserve">30), which took place even while John’s</w:t>
        <w:br w:type="textWrapping"/>
        <w:t xml:space="preserve">course was being fulfilled: but the objection 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‘preferred’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possible ambiguity:</w:t>
        <w:br w:type="textWrapping"/>
        <w:t xml:space="preserve">the word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prefer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esteem more highly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advance</w:t>
        <w:br w:type="textWrapping"/>
        <w:t xml:space="preserve">or promote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sense required</w:t>
        <w:br w:type="textWrapping"/>
        <w:t xml:space="preserve">here. Even Dr. Johnson has fallen into</w:t>
        <w:br w:type="textWrapping"/>
        <w:t xml:space="preserve">the mistake of quoting this very passage, in</w:t>
        <w:br w:type="textWrapping"/>
        <w:t xml:space="preserve">his Dictionary, as an instance of the sense</w:t>
        <w:br w:type="textWrapping"/>
        <w:t xml:space="preserve">“to love more than another.”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better because)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“became”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“was made,”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as in ver. 1) before me; i.e. ‘He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was in being, before me.’ The question</w:t>
        <w:br w:type="textWrapping"/>
        <w:t xml:space="preserve">raised by some, whether it is probable</w:t>
        <w:br w:type="textWrapping"/>
        <w:t xml:space="preserve">that the Baptist had, or expressed such</w:t>
        <w:br w:type="textWrapping"/>
        <w:t xml:space="preserve">views of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-existence of Christ, is not</w:t>
        <w:br w:type="textWrapping"/>
        <w:t xml:space="preserve">one for us to deal with, in the face of so</w:t>
        <w:br w:type="textWrapping"/>
        <w:t xml:space="preserve">direct a testimony as is given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here and in ch. iii, 27 ff. In all probability,</w:t>
        <w:br w:type="textWrapping"/>
        <w:t xml:space="preserve">the Evangelist was himself a disciple </w:t>
        <w:br w:type="textWrapping"/>
        <w:t xml:space="preserve">of the Baptist: and if he has given</w:t>
        <w:br w:type="textWrapping"/>
        <w:t xml:space="preserve">us, as compared with the other Evangelists,</w:t>
        <w:br w:type="textWrapping"/>
        <w:t xml:space="preserve">a fuller and somewhat differing</w:t>
        <w:br w:type="textWrapping"/>
        <w:t xml:space="preserve">account of his testimony to Christ, it is</w:t>
        <w:br w:type="textWrapping"/>
        <w:t xml:space="preserve">because his means of information were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ampler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those of the other Evangelists. </w:t>
        <w:br w:type="textWrapping"/>
        <w:t xml:space="preserve">The questioners seem to forget</w:t>
        <w:br w:type="textWrapping"/>
        <w:t xml:space="preserve">that the Baptist was divinely raised up</w:t>
        <w:br w:type="textWrapping"/>
        <w:t xml:space="preserve">and commissioned,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full of the Holy</w:t>
        <w:br w:type="textWrapping"/>
        <w:t xml:space="preserve">Ghost, and spoke in that power;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declarations </w:t>
        <w:br w:type="textWrapping"/>
        <w:t xml:space="preserve">were not therefore merely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VwGxtu/ystLvsr3WaXNvUETMqA==">AMUW2mV2GzoL125LamNx0kCxdMlVxoqkwN2FBqD6uaDB7F4dFB8vOrxqYgdS9VvMLYVyy5YyT6hEBA1ucKYhvf5yFeoK0yisny7z9DBLxT63PiKrPRr9CRQ=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