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the part of Philip with Jesus. No</w:t>
        <w:br w:type="textWrapping"/>
        <w:t xml:space="preserve">stress can be laid, as has been most unfairly</w:t>
        <w:br w:type="textWrapping"/>
        <w:t xml:space="preserve">done, on Jesus being called by Philip, the</w:t>
        <w:br w:type="textWrapping"/>
        <w:t xml:space="preserve">son of Joseph, as indicating that the history of His birth and childhood, as related</w:t>
        <w:br w:type="textWrapping"/>
        <w:t xml:space="preserve">by St. Matthew and St. Luke,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unknown</w:t>
        <w:br w:type="textWrapping"/>
        <w:t xml:space="preserve">to St. John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Philip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expresses what was</w:t>
        <w:br w:type="textWrapping"/>
        <w:t xml:space="preserve">the prevailing belief, in the ordinary words,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Olshausen remarks. In an admirable</w:t>
        <w:br w:type="textWrapping"/>
        <w:t xml:space="preserve">note, Neander remarks, that by combining</w:t>
        <w:br w:type="textWrapping"/>
        <w:t xml:space="preserve">the two declarations of John,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Jesus</w:t>
        <w:br w:type="textWrapping"/>
        <w:t xml:space="preserve">the Eternal Word of God became flesh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(ver. 14), and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‘that which is born of</w:t>
        <w:br w:type="textWrapping"/>
        <w:t xml:space="preserve">the flesh is flesh’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(ch. iii. 6), we cannot escape the inference, that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supernatural</w:t>
        <w:br w:type="textWrapping"/>
        <w:t xml:space="preserve">working of God in the conception of the</w:t>
        <w:br w:type="textWrapping"/>
        <w:t xml:space="preserve">Ban Christ Jesus is implied.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46.]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Lücke observes, the meaning of this</w:t>
        <w:br w:type="textWrapping"/>
        <w:t xml:space="preserve">question is simpler than at first sight</w:t>
        <w:br w:type="textWrapping"/>
        <w:t xml:space="preserve">appears. It is impossible that Nathanael,</w:t>
        <w:br w:type="textWrapping"/>
        <w:t xml:space="preserve">himself a Galilean, could speak from any</w:t>
        <w:br w:type="textWrapping"/>
        <w:t xml:space="preserve">feeling of contempt for Galilee generally :</w:t>
        <w:br w:type="textWrapping"/>
        <w:t xml:space="preserve">and we have no evidence that Nazareth was</w:t>
        <w:br w:type="textWrapping"/>
        <w:t xml:space="preserve">held in contempt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among the Galileans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He alluded therefore to the smallness and</w:t>
        <w:br w:type="textWrapping"/>
        <w:t xml:space="preserve">insignificance of the town in proportion</w:t>
        <w:br w:type="textWrapping"/>
        <w:t xml:space="preserve">to the great things which were now predicated of it. Nazareth is never named in</w:t>
        <w:br w:type="textWrapping"/>
        <w:t xml:space="preserve">the O. T. nor in Josephus.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47.]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Evangelist certainly intends a supernatural</w:t>
        <w:br w:type="textWrapping"/>
        <w:t xml:space="preserve">insight by the Lord into Nathanael’s character to be here understood; and there is</w:t>
        <w:br w:type="textWrapping"/>
        <w:t xml:space="preserve">probably no reference at all to the question which Nathanael had just asked. To</w:t>
        <w:br w:type="textWrapping"/>
        <w:t xml:space="preserve">suppose that Jesus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overheard that question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is just one of those perfectly gratuitous assumptions which the very Commentators who here make this supposition</w:t>
        <w:br w:type="textWrapping"/>
        <w:t xml:space="preserve">are usually the first to blame. Compare</w:t>
        <w:br w:type="textWrapping"/>
        <w:t xml:space="preserve">ch. ii. 25.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 Israelite indeed]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‘An</w:t>
        <w:br w:type="textWrapping"/>
        <w:t xml:space="preserve">Israelite who truly answers to the inner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honourable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meaning of the name’ When</w:t>
        <w:br w:type="textWrapping"/>
        <w:t xml:space="preserve">we reflect what was contained in that</w:t>
        <w:br w:type="textWrapping"/>
        <w:t xml:space="preserve">name, and Who it is that speaks, we can</w:t>
        <w:br w:type="textWrapping"/>
        <w:t xml:space="preserve">hardly agree with De Wette that the</w:t>
        <w:br w:type="textWrapping"/>
        <w:t xml:space="preserve">words are spoken merely in the spirit in</w:t>
        <w:br w:type="textWrapping"/>
        <w:t xml:space="preserve">which every nation attaches some peculiar</w:t>
        <w:br w:type="textWrapping"/>
        <w:t xml:space="preserve">virtue, and especially those of openness</w:t>
        <w:br w:type="textWrapping"/>
        <w:t xml:space="preserve">and straightforwardness, to itself.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Lord probably referred to Ps.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remark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overheard by</w:t>
        <w:br w:type="textWrapping"/>
        <w:t xml:space="preserve">Nathanael, and recognized as indicating</w:t>
        <w:br w:type="textWrapping"/>
        <w:t xml:space="preserve">perfect knowledge of his character. The</w:t>
        <w:br w:type="textWrapping"/>
        <w:t xml:space="preserve">question,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Whence knowest thou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is one</w:t>
        <w:br w:type="textWrapping"/>
        <w:t xml:space="preserve">of astonishment, but not perhaps yet of</w:t>
        <w:br w:type="textWrapping"/>
        <w:t xml:space="preserve">suspicion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any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supernatural. Our</w:t>
        <w:br w:type="textWrapping"/>
        <w:t xml:space="preserve">Lord’s answer first opens this to him.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 that &amp;c.]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whole form of our</w:t>
        <w:br w:type="textWrapping"/>
        <w:t xml:space="preserve">Lord’s answer seems to indicate that the</w:t>
        <w:br w:type="textWrapping"/>
        <w:t xml:space="preserve">place where Philip called Nathanael was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sight, nor had been. The declaration that Jesus had seen him there, at</w:t>
        <w:br w:type="textWrapping"/>
        <w:t xml:space="preserve">once brings the conviction which he expresses in the next verse. This would</w:t>
        <w:br w:type="textWrapping"/>
        <w:t xml:space="preserve">not have been the case, unless the sight</w:t>
        <w:br w:type="textWrapping"/>
        <w:t xml:space="preserve">had been evidently and unquestionably</w:t>
        <w:br w:type="textWrapping"/>
        <w:t xml:space="preserve">supernatural : and unless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</w:t>
        <w:br w:type="textWrapping"/>
        <w:t xml:space="preserve">thou wast under the fig tree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involved this.</w:t>
        <w:br w:type="textWrapping"/>
        <w:t xml:space="preserve">Had Jesus merely seen Nathanael without</w:t>
        <w:br w:type="textWrapping"/>
        <w:t xml:space="preserve">being seen by him, or had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saw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only expressed,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knew thy character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at first sight,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although at a distance, no</w:t>
        <w:br w:type="textWrapping"/>
        <w:t xml:space="preserve">such immediate conviction would have followed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thou wast under the</w:t>
        <w:br w:type="textWrapping"/>
        <w:t xml:space="preserve">fig tree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Wordsw.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“is something more</w:t>
        <w:br w:type="textWrapping"/>
        <w:t xml:space="preserve">than merely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under the fig tree’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</w:t>
        <w:br w:type="textWrapping"/>
        <w:t xml:space="preserve">be: it indicates retirement thither as well</w:t>
        <w:br w:type="textWrapping"/>
        <w:t xml:space="preserve">as concealment there,—perhaps for purposes of prayer and meditation.” In fact</w:t>
        <w:br w:type="textWrapping"/>
        <w:t xml:space="preserve">it contains in it, ‘when thou wentest under</w:t>
        <w:br w:type="textWrapping"/>
        <w:t xml:space="preserve">the fig tree, and while thou wert there.’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49.]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answer expresses, ‘Thou art the</w:t>
        <w:br w:type="textWrapping"/>
        <w:t xml:space="preserve">Messiah;’ see Ps. ii. 7: ch. xi. 27: Matt.</w:t>
        <w:br w:type="textWrapping"/>
        <w:t xml:space="preserve">xvi. 16: Luke xxii. 70. Olshausen maintains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Son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not a Jewish</w:t>
        <w:br w:type="textWrapping"/>
        <w:t xml:space="preserve">appellation for the Messiah,—on account</w:t>
        <w:br w:type="textWrapping"/>
        <w:t xml:space="preserve">of the Jews taking up stones to cast at</w:t>
        <w:br w:type="textWrapping"/>
        <w:t xml:space="preserve">Jesus when He so called Himself, ch. x. 33.</w:t>
        <w:br w:type="textWrapping"/>
        <w:t xml:space="preserve">But as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cke observes, it was not for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 use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Name,—but for using it</w:t>
        <w:br w:type="textWrapping"/>
        <w:t xml:space="preserve">in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close and literal sense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was unintelligible and appeared blasphemous to</w:t>
        <w:br w:type="textWrapping"/>
        <w:t xml:space="preserve">them, ‘I and My Father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,’—that</w:t>
        <w:br w:type="textWrapping"/>
        <w:t xml:space="preserve">they wished to stone Him; see note on</w:t>
        <w:br w:type="textWrapping"/>
        <w:t xml:space="preserve">ch, x.36. It was certainly not so common</w:t>
        <w:br w:type="textWrapping"/>
        <w:t xml:space="preserve">a name as ‘the Son of David, for the Messiah. Nathanael can hardly have meant</w:t>
        <w:br w:type="textWrapping"/>
        <w:t xml:space="preserve">the name in other than its popular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meaning;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voNWZnX0pDC/UXfuHw0AKxZHGQ==">AMUW2mUSLt1wsxO1hbCsty3CRM3uceBlYdzPXKX0jld28PKpjZETjbNvTMWUP5uANfG1AsMxTnLlTL2vmvu4wvlHsLhaRV8csphXTxWWiC0Fl8l72JSFG9Y=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