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heaven who hath searched out?”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13.]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whole verse seems to have</w:t>
        <w:br w:type="textWrapping"/>
        <w:t xml:space="preserve">intimate connexion with and reference to</w:t>
        <w:br w:type="textWrapping"/>
        <w:t xml:space="preserve">Prov. xxx. 4, “Who hath ascended up to</w:t>
        <w:br w:type="textWrapping"/>
        <w:t xml:space="preserve">heaven, or descended?” and as spoken</w:t>
        <w:br w:type="textWrapping"/>
        <w:t xml:space="preserve">to a learned doctor of the law, would recall</w:t>
        <w:br w:type="textWrapping"/>
        <w:t xml:space="preserve">that verse,—especially as the further question is there asked, ‘ Who hath gathered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wind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His fists?’ and ‘What is</w:t>
        <w:br w:type="textWrapping"/>
        <w:t xml:space="preserve">His name, 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what His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Son’s name?’</w:t>
        <w:br w:type="textWrapping"/>
        <w:t xml:space="preserve">See also Deut. xxx. 12, and the citation,</w:t>
        <w:br w:type="textWrapping"/>
        <w:t xml:space="preserve">Rom. x. 6—8. </w:t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All attempts to explain away the plain sense of this verse</w:t>
        <w:br w:type="textWrapping"/>
        <w:t xml:space="preserve">are futile and ridiculous. The Son of Man,</w:t>
        <w:br w:type="textWrapping"/>
        <w:t xml:space="preserve">the Lord Jesus, the Word made Flesh,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was</w:t>
        <w:br w:type="textWrapping"/>
        <w:t xml:space="preserve">in, came down from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heaven,—and was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heaven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(heaven about Him, heaven</w:t>
        <w:br w:type="textWrapping"/>
        <w:t xml:space="preserve">dwelling on earth, ch. i. 52),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while here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and ascended up into heaven when He left</w:t>
        <w:br w:type="textWrapping"/>
        <w:t xml:space="preserve">this earth;—and by all these proofs, speaking in the prophetic language of accomplished Redemption, does the Lord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establish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that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 alone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can speak 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heavenly</w:t>
        <w:br w:type="textWrapping"/>
        <w:t xml:space="preserve">things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men, or convey the blessing</w:t>
        <w:br w:type="textWrapping"/>
        <w:t xml:space="preserve">of the new birth to them. Be it remembered, that He is here speaking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anticipation,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results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His course and sufferings on earth,—of the way of’ regeneration and salvation which God has appointed by Him. He regards therefore</w:t>
        <w:br w:type="textWrapping"/>
        <w:t xml:space="preserve">throughout the passage, the great facts of</w:t>
        <w:br w:type="textWrapping"/>
        <w:t xml:space="preserve">redemption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as accomplished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and makes</w:t>
        <w:br w:type="textWrapping"/>
        <w:t xml:space="preserve">announcements which could not be literally</w:t>
        <w:br w:type="textWrapping"/>
        <w:t xml:space="preserve">acted upon till they had been so accomplished. See vv. 14 ff., whose sense will be</w:t>
        <w:br w:type="textWrapping"/>
        <w:t xml:space="preserve">altogether lost, unless this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hath ascended</w:t>
        <w:br w:type="textWrapping"/>
        <w:t xml:space="preserve">up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 understood of His exaltation to be a</w:t>
        <w:br w:type="textWrapping"/>
        <w:t xml:space="preserve">Prince and a Saviour.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which is in</w:t>
        <w:br w:type="textWrapping"/>
        <w:t xml:space="preserve">heaven]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 ch. i. 18 and note. Doubtless the meaning involves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whose place is</w:t>
        <w:br w:type="textWrapping"/>
        <w:t xml:space="preserve">in heaven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;’ but it also asserts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being</w:t>
        <w:br w:type="textWrapping"/>
        <w:t xml:space="preserve">in heaven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time then present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see</w:t>
        <w:br w:type="textWrapping"/>
        <w:t xml:space="preserve">ch. i. 52. Thus majestically does the Lord</w:t>
        <w:br w:type="textWrapping"/>
        <w:t xml:space="preserve">characterize His whole life of humiliation</w:t>
        <w:br w:type="textWrapping"/>
        <w:t xml:space="preserve">in the flesh, between His descent and His</w:t>
        <w:br w:type="textWrapping"/>
        <w:t xml:space="preserve">ascent. As uniting in Himself God, whose</w:t>
        <w:br w:type="textWrapping"/>
        <w:t xml:space="preserve">dwelling is Heaven, with man, whose dwelling is on earth, He ever was in heaven.</w:t>
        <w:br w:type="textWrapping"/>
        <w:t xml:space="preserve">And nearly connected with this fact is the</w:t>
        <w:br w:type="textWrapping"/>
        <w:t xml:space="preserve">transition to His being the fountain of</w:t>
        <w:br w:type="textWrapping"/>
        <w:t xml:space="preserve">eternal life, in vv. 14 ff: cf. 1 Cor. xv.</w:t>
        <w:br w:type="textWrapping"/>
        <w:t xml:space="preserve">47—50, where the same connexion is</w:t>
        <w:br w:type="textWrapping"/>
        <w:t xml:space="preserve">strikingly set forth. 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To explain such</w:t>
        <w:br w:type="textWrapping"/>
        <w:t xml:space="preserve">expressions as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ascend up into heaven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</w:t>
        <w:br w:type="textWrapping"/>
        <w:t xml:space="preserve">&amp;e., as mere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Hebrew metaphors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(Lücke, De</w:t>
        <w:br w:type="textWrapping"/>
        <w:t xml:space="preserve">Wette, &amp;c.) is no more than saying that</w:t>
        <w:br w:type="textWrapping"/>
        <w:t xml:space="preserve">Hebrew metaphors were founded on deep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insight into divine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truth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:—these words in</w:t>
        <w:br w:type="textWrapping"/>
        <w:t xml:space="preserve">fact express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truths on which Hebrew</w:t>
        <w:br w:type="textWrapping"/>
        <w:t xml:space="preserve">metaphors were constructed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Socinus is</w:t>
        <w:br w:type="textWrapping"/>
        <w:t xml:space="preserve">quite right, when he says 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those who</w:t>
        <w:br w:type="textWrapping"/>
        <w:t xml:space="preserve">take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‘hath ascended up into heaven’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metaphorically, must in all consistency take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‘he that came down from heaven’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metaphorically also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“the descent and ascent</w:t>
        <w:br w:type="textWrapping"/>
        <w:t xml:space="preserve">must be both of the same kind.” </w:t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From this point the discourse passes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Christ, and Redemption by His</w:t>
        <w:br w:type="textWrapping"/>
        <w:t xml:space="preserve">Death.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Lord brings before this</w:t>
        <w:br w:type="textWrapping"/>
        <w:t xml:space="preserve">doctor of the Law the mention of Moses,</w:t>
        <w:br w:type="textWrapping"/>
        <w:t xml:space="preserve">who in his day by divine command lifted</w:t>
        <w:br w:type="textWrapping"/>
        <w:t xml:space="preserve">up a symbol of forgiveness and redemption</w:t>
        <w:br w:type="textWrapping"/>
        <w:t xml:space="preserve">to Israel.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interpreting this comparison, we must avoid all such ideas as</w:t>
        <w:br w:type="textWrapping"/>
        <w:t xml:space="preserve">that our Lord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merely compares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His death</w:t>
        <w:br w:type="textWrapping"/>
        <w:t xml:space="preserve">to the elevation of the brazen serpent, as</w:t>
        <w:br w:type="textWrapping"/>
        <w:t xml:space="preserve">if only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fortuitous likeness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were laid hold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by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Him. This would leave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brazen</w:t>
        <w:br w:type="textWrapping"/>
        <w:t xml:space="preserve">serpent itself meaningless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is an explanation which can only satisfy those who</w:t>
        <w:br w:type="textWrapping"/>
        <w:t xml:space="preserve">do not discern the typical reference of all</w:t>
        <w:br w:type="textWrapping"/>
        <w:t xml:space="preserve">the ceremonial dispensation to the Redeemer.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 is an important duty of</w:t>
        <w:br w:type="textWrapping"/>
        <w:t xml:space="preserve">an expositor here, to defend the obvious</w:t>
        <w:br w:type="textWrapping"/>
        <w:t xml:space="preserve">and only honest explanation of this comparison against the tortuous and inadequate</w:t>
        <w:br w:type="textWrapping"/>
        <w:t xml:space="preserve">interpretations of modern critics. The</w:t>
        <w:br w:type="textWrapping"/>
        <w:t xml:space="preserve">comparison lies between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x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alted se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pent of brass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exal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ted Son of</w:t>
        <w:br w:type="textWrapping"/>
        <w:t xml:space="preserve">Man. The brazen serpent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sets forth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Redeemer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by recent commentators</w:t>
        <w:br w:type="textWrapping"/>
        <w:t xml:space="preserve">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Lücke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De Wette, and others) is considered impossible: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thing compared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held to be only ‘the lifting up.’ But</w:t>
        <w:br w:type="textWrapping"/>
        <w:t xml:space="preserve">this does not satisfy the construction of</w:t>
        <w:br w:type="textWrapping"/>
        <w:t xml:space="preserve">the comparison. ‘The brazen serpent was</w:t>
        <w:br w:type="textWrapping"/>
        <w:t xml:space="preserve">lifted up: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every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looked on it,</w:t>
        <w:br w:type="textWrapping"/>
        <w:t xml:space="preserve">lived;’ this sentence, in its terms, represents.</w:t>
        <w:br w:type="textWrapping"/>
        <w:t xml:space="preserve">this other,—‘The Son of Man must be</w:t>
        <w:br w:type="textWrapping"/>
        <w:t xml:space="preserve">lifted up: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every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who believes on Him,</w:t>
        <w:br w:type="textWrapping"/>
        <w:t xml:space="preserve">shall live.’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same thing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predicated</w:t>
        <w:br w:type="textWrapping"/>
        <w:t xml:space="preserve">of the two;—both are lifted up; cognate</w:t>
        <w:br w:type="textWrapping"/>
        <w:t xml:space="preserve">consequences follow,—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ody-healing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soul-healing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(as Erskine, On the Brazen</w:t>
        <w:br w:type="textWrapping"/>
        <w:t xml:space="preserve">Serpent). There must then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some</w:t>
        <w:br w:type="textWrapping"/>
        <w:t xml:space="preserve">reason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why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 two members of the</w:t>
        <w:br w:type="textWrapping"/>
        <w:t xml:space="preserve">comparison yet unaccounted for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stand</w:t>
        <w:br w:type="textWrapping"/>
        <w:t xml:space="preserve">where they do,—considering that 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brazen serpent was lifted up not for any</w:t>
        <w:br w:type="textWrapping"/>
        <w:t xml:space="preserve">physical efficacy, but by command of God</w:t>
        <w:br w:type="textWrapping"/>
        <w:t xml:space="preserve">alone.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 on examination we find this</w:t>
        <w:br w:type="textWrapping"/>
        <w:t xml:space="preserve">correspondence fully established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</w:t>
        <w:br w:type="textWrapping"/>
        <w:t xml:space="preserve">‘serpent’ is in Scripture symbolism,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devil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—from the historical temptation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l5JNB0SQgFouwI089lXaVS91HQg==">AMUW2mUPPzmBUj1mKjoNLJuzDse26nNmMJqHbyglbUm54Aax8lMZjeUS8E0ctlW+trjlJJ4XgUejw+OzuMpe0daj05VWWi6OmCo9HA3t6qkYWRswCKu/tiY=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