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these conjectures, because the text gives</w:t>
        <w:br w:type="textWrapping"/>
        <w:t xml:space="preserve">us no further insight into the fact, than</w:t>
        <w:br w:type="textWrapping"/>
        <w:t xml:space="preserve">what the circumstances and the answer of</w:t>
        <w:br w:type="textWrapping"/>
        <w:t xml:space="preserve">John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probable.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Compare ch, i. 28.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men come to him]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Not, probably, any who had been</w:t>
        <w:br w:type="textWrapping"/>
        <w:t xml:space="preserve">baptized already by John; but multitudes</w:t>
        <w:br w:type="textWrapping"/>
        <w:t xml:space="preserve">of persons. The baptism now carried on</w:t>
        <w:br w:type="textWrapping"/>
        <w:t xml:space="preserve">by the disciples appears to have stood very</w:t>
        <w:br w:type="textWrapping"/>
        <w:t xml:space="preserve">much in the same position as that of John.</w:t>
        <w:br w:type="textWrapping"/>
        <w:t xml:space="preserve">It was preparatory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public ministry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our Lord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properly so called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began in Galilee after the imprisonment of</w:t>
        <w:br w:type="textWrapping"/>
        <w:t xml:space="preserve">John. 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accompanied with the</w:t>
        <w:br w:type="textWrapping"/>
        <w:t xml:space="preserve">gift of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ch. vii. 39. As</w:t>
        <w:br w:type="textWrapping"/>
        <w:t xml:space="preserve">John’s commission was now on the wane,</w:t>
        <w:br w:type="textWrapping"/>
        <w:t xml:space="preserve">so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Lord’s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expanding. The solemn</w:t>
        <w:br w:type="textWrapping"/>
        <w:t xml:space="preserve">cleansing of the temple was its opening;</w:t>
        <w:br w:type="textWrapping"/>
        <w:t xml:space="preserve">and now it is proceeding onwards, gathering multitudes around it (see ch. iv. 1).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subject of this answer</w:t>
        <w:br w:type="textWrapping"/>
        <w:t xml:space="preserve">is,—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divinely-appointed humiliation</w:t>
        <w:br w:type="textWrapping"/>
        <w:t xml:space="preserve">and eclipsing of the Baptist himself before</w:t>
        <w:br w:type="textWrapping"/>
        <w:t xml:space="preserve">the greater majesty of Him who was come</w:t>
        <w:br w:type="textWrapping"/>
        <w:t xml:space="preserve">after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Accordingly he begins in this</w:t>
        <w:br w:type="textWrapping"/>
        <w:t xml:space="preserve">verse by answering to the zeal of his disciples, ‘that he cannot go beyond the bounds of his heaven-appointed mission.’</w:t>
        <w:br w:type="textWrapping"/>
        <w:t xml:space="preserve">“I cannot arrogate to myself and take</w:t>
        <w:br w:type="textWrapping"/>
        <w:t xml:space="preserve">upon me what God has not given.” Wetstein. Some apply the words to Jesus:—</w:t>
        <w:br w:type="textWrapping"/>
        <w:t xml:space="preserve">“If His circumstances are more illustrious,</w:t>
        <w:br w:type="textWrapping"/>
        <w:t xml:space="preserve">and all men come to Him, it is no matter</w:t>
        <w:br w:type="textWrapping"/>
        <w:t xml:space="preserve">of wonder; for such would be the case</w:t>
        <w:br w:type="textWrapping"/>
        <w:t xml:space="preserve">with Divinity.” Chrysostom. But the</w:t>
        <w:br w:type="textWrapping"/>
        <w:t xml:space="preserve">whole tone of the answer makes the other</w:t>
        <w:br w:type="textWrapping"/>
        <w:t xml:space="preserve">view more likely. Of course the remark,</w:t>
        <w:br w:type="textWrapping"/>
        <w:t xml:space="preserve">being general, may in the background have</w:t>
        <w:br w:type="textWrapping"/>
        <w:t xml:space="preserve">reference to the greater mission of Jesus;</w:t>
        <w:br w:type="textWrapping"/>
        <w:t xml:space="preserve">but not primarily. The parallelism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here, and himself, as the subject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said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the next verse, also supports this view; see Heb. v. 4.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“Not only so, but I have always</w:t>
        <w:br w:type="textWrapping"/>
        <w:t xml:space="preserve">given the same consistent testimony; that</w:t>
        <w:br w:type="textWrapping"/>
        <w:t xml:space="preserve">I was only the forerunner of One greater</w:t>
        <w:br w:type="textWrapping"/>
        <w:t xml:space="preserve">than myself.’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  <w:br w:type="textWrapping"/>
        <w:t xml:space="preserve">original does not refer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subject of ver. 26;</w:t>
        <w:br w:type="textWrapping"/>
        <w:t xml:space="preserve">and thus is not merely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testimony</w:t>
        <w:br w:type="textWrapping"/>
        <w:t xml:space="preserve">with regard to the Messiah,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to Jesus. In reading this verse therefore, strong emphasis should be laid on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first, (and</w:t>
        <w:br w:type="textWrapping"/>
        <w:t xml:space="preserve">here only in our Gospel,) comes, from the</w:t>
        <w:br w:type="textWrapping"/>
        <w:t xml:space="preserve">mouth of the Forerunner, this 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symbolical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reference, which is so common in the</w:t>
        <w:br w:type="textWrapping"/>
        <w:t xml:space="preserve">other Gospels and in the Epistles. It is</w:t>
        <w:br w:type="textWrapping"/>
        <w:t xml:space="preserve">remarkable that our Lord brings it forward in His answer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disciples of</w:t>
        <w:br w:type="textWrapping"/>
        <w:t xml:space="preserve">Jo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respecting fasting, Matt. ix. 15:</w:t>
        <w:br w:type="textWrapping"/>
        <w:t xml:space="preserve">where see note on the further import of</w:t>
        <w:br w:type="textWrapping"/>
        <w:t xml:space="preserve">the terms used.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friend of the</w:t>
        <w:br w:type="textWrapping"/>
        <w:t xml:space="preserve">bridegroom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regular organ of communication in the preliminaries of marriage, and had the ordering of the marriage</w:t>
        <w:br w:type="textWrapping"/>
        <w:t xml:space="preserve">feast. It is to this last time, and not to</w:t>
        <w:br w:type="textWrapping"/>
        <w:t xml:space="preserve">any ceremonial custom connected with the</w:t>
        <w:br w:type="textWrapping"/>
        <w:t xml:space="preserve">marriage rites, that this verse refers. The</w:t>
        <w:br w:type="textWrapping"/>
        <w:t xml:space="preserve">friend rejoices at hearing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voice of the</w:t>
        <w:br w:type="textWrapping"/>
        <w:t xml:space="preserve">bridegroom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vii. 34; xvi. 9; xxv.</w:t>
        <w:br w:type="textWrapping"/>
        <w:t xml:space="preserve">10: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xviii.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,) in his triumph and</w:t>
        <w:br w:type="textWrapping"/>
        <w:t xml:space="preserve">joy,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marriage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rejoiceth with</w:t>
        <w:br w:type="textWrapping"/>
        <w:t xml:space="preserve">joy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he hears in the voice of the</w:t>
        <w:br w:type="textWrapping"/>
        <w:t xml:space="preserve">Bridegroom an assurance of the happy</w:t>
        <w:br w:type="textWrapping"/>
        <w:t xml:space="preserve">completion of his mission, and on account</w:t>
        <w:br w:type="textWrapping"/>
        <w:t xml:space="preserve">of the voice itself,—“so sweet, so lovely,</w:t>
        <w:br w:type="textWrapping"/>
        <w:t xml:space="preserve">so telling of salvation.”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standeth and belong merely to the graphic</w:t>
        <w:br w:type="textWrapping"/>
        <w:t xml:space="preserve">setting forth of the similitude.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joy therefore is fulfilled]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I</w:t>
        <w:br w:type="textWrapping"/>
        <w:t xml:space="preserve">have presented the bride to Him, and fulfilled, as is elsewhere said, the ministry</w:t>
        <w:br w:type="textWrapping"/>
        <w:t xml:space="preserve">entrusted to me.” Euthymius.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 decrease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‘as the morning-star at</w:t>
        <w:br w:type="textWrapping"/>
        <w:t xml:space="preserve">the rise of the sun.” Euthymius. See note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jq60zjwWl2lnrHwUv9mvNpOTOA==">AMUW2mVXdHJARAJfnOWG+Yjri7oM67xi/9YWE/qGvHIh2o13uUXVBp5ZL7Y08a72g1yvEgIG6BEe7UCZ3MucoBW4ay6xTxRhQ/jniaDfa1kp5BfLIvpcNl8=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