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common with all:” for he is surely speaking of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peculiar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wrought in his apostleship more than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‘the office of an</w:t>
        <w:br w:type="textWrapping"/>
        <w:t xml:space="preserve">Apostle:’ not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of</w:t>
        <w:br w:type="textWrapping"/>
        <w:t xml:space="preserve">sending ministers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resident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  <w:br w:type="textWrapping"/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would be contrary to the</w:t>
        <w:br w:type="textWrapping"/>
        <w:t xml:space="preserve">usage of the word.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existence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</w:t>
        <w:br w:type="textWrapping"/>
        <w:t xml:space="preserve">a power is not hereby denied,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solely to the office of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an Apostle. It was the general bestowal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the condition of and</w:t>
        <w:br w:type="textWrapping"/>
        <w:t xml:space="preserve">introduced the special bestowal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</w:t>
        <w:br w:type="textWrapping"/>
        <w:t xml:space="preserve">often, coupling a specific portion to a</w:t>
        <w:br w:type="textWrapping"/>
        <w:t xml:space="preserve">whole)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compare 1 Cor. xv.</w:t>
        <w:br w:type="textWrapping"/>
        <w:t xml:space="preserve">10.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view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,—‘in</w:t>
        <w:br w:type="textWrapping"/>
        <w:t xml:space="preserve">order to bring about.’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obedience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Such is the literal rendering of</w:t>
        <w:br w:type="textWrapping"/>
        <w:t xml:space="preserve">the words; and this ought to be kept in</w:t>
        <w:br w:type="textWrapping"/>
        <w:t xml:space="preserve">the translation. They may mean either,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 which is the result of faith, or,</w:t>
        <w:br w:type="textWrapping"/>
        <w:t xml:space="preserve">obedience, the object of which is the faith ;</w:t>
        <w:br w:type="textWrapping"/>
        <w:t xml:space="preserve">obedience,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fact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to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Acts</w:t>
        <w:br w:type="textWrapping"/>
        <w:t xml:space="preserve">vi. 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great multitude of the priests</w:t>
        <w:br w:type="textWrapping"/>
        <w:t xml:space="preserve">were obedient unto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Understood either way, these words form an</w:t>
        <w:br w:type="textWrapping"/>
        <w:t xml:space="preserve">introduction to the great subject of the</w:t>
        <w:br w:type="textWrapping"/>
        <w:t xml:space="preserve">Epistle.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 to bring about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obedience of faith among all (the) nations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(or, all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 rendered</w:t>
        <w:br w:type="textWrapping"/>
        <w:t xml:space="preserve">Gentiles being always the same as that</w:t>
        <w:br w:type="textWrapping"/>
        <w:t xml:space="preserve">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The Jews do not here</w:t>
        <w:br w:type="textWrapping"/>
        <w:t xml:space="preserve">come into account. There is no inclusion,</w:t>
        <w:br w:type="textWrapping"/>
        <w:t xml:space="preserve">and at the same time no express exclusion of</w:t>
        <w:br w:type="textWrapping"/>
        <w:t xml:space="preserve">them: but Paul was commissioned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Apostle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he here magnifies the great office entrusted to him.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his name’s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behalf of 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‘for His glory” “In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name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summed up what He had done</w:t>
        <w:br w:type="textWrapping"/>
        <w:t xml:space="preserve">and was, what the Christian ever bore in</w:t>
        <w:br w:type="textWrapping"/>
        <w:t xml:space="preserve">mind, the zeal which marked him, the</w:t>
        <w:br w:type="textWrapping"/>
        <w:t xml:space="preserve">name wherewith he was named.” Jowett.</w:t>
        <w:br w:type="textWrapping"/>
        <w:t xml:space="preserve">The words are best taken as belonging to</w:t>
        <w:br w:type="textWrapping"/>
        <w:t xml:space="preserve">the whole verse: as declaring the purpose</w:t>
        <w:br w:type="textWrapping"/>
        <w:t xml:space="preserve">for which the grace and apostleship had</w:t>
        <w:br w:type="textWrapping"/>
        <w:t xml:space="preserve">been received.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among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whole should be taken together: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</w:t>
        <w:br w:type="textWrapping"/>
        <w:t xml:space="preserve">whom ye also are called of Jesus Christ;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otherwise, with a comma 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assertion,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whom are 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is</w:t>
        <w:br w:type="textWrapping"/>
        <w:t xml:space="preserve">flat and unmeaning. Some would take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genitive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because the call of believers is generally</w:t>
        <w:br w:type="textWrapping"/>
        <w:t xml:space="preserve">referred to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THER; but sometimes</w:t>
        <w:br w:type="textWrapping"/>
        <w:t xml:space="preserve">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said to call likewise, see John</w:t>
        <w:br w:type="textWrapping"/>
        <w:t xml:space="preserve">v. 25; 1 Tim. i. 12;—and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following so close upon it, the expression can I think hardly be taken otherwise than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 by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 follows, in the sense, close</w:t>
        <w:br w:type="textWrapping"/>
        <w:t xml:space="preserve">on ver. 1.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 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Both these clauses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the Christians addressed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(as Bengel)</w:t>
        <w:br w:type="textWrapping"/>
        <w:t xml:space="preserve">the first to Jewish, the second to Gentile</w:t>
        <w:br w:type="textWrapping"/>
        <w:t xml:space="preserve">believers. No such distinction would be</w:t>
        <w:br w:type="textWrapping"/>
        <w:t xml:space="preserve">in place in an exordium which anticipates.</w:t>
        <w:br w:type="textWrapping"/>
        <w:t xml:space="preserve">the result of the Epistle—that Jew and</w:t>
        <w:br w:type="textWrapping"/>
        <w:t xml:space="preserve">Gentile are one in guilt, and one in Christ.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God our Father, and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God is the Giver of</w:t>
        <w:br w:type="textWrapping"/>
        <w:t xml:space="preserve">grace and peace,—Christ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Imparter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OPENING 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THE EPISTLE.</w:t>
        <w:br w:type="textWrapping"/>
        <w:t xml:space="preserve">His thankfulness for the faith of the</w:t>
        <w:br w:type="textWrapping"/>
        <w:t xml:space="preserve">Romans: remembrance of them in his</w:t>
        <w:br w:type="textWrapping"/>
        <w:t xml:space="preserve">prayers: wish to visit them: hindrances</w:t>
        <w:br w:type="textWrapping"/>
        <w:t xml:space="preserve">hitherto, but still earnest intention of</w:t>
        <w:br w:type="textWrapping"/>
        <w:t xml:space="preserve">doing so, that he may further ground them</w:t>
        <w:br w:type="textWrapping"/>
        <w:t xml:space="preserve">in that Gospel, of which he is not ashamed,</w:t>
        <w:br w:type="textWrapping"/>
        <w:t xml:space="preserve">inasmuch as it is THE POWER OF GOD TO</w:t>
        <w:br w:type="textWrapping"/>
        <w:t xml:space="preserve">ALL WHO BELIEVE. This leads to the</w:t>
        <w:br w:type="textWrapping"/>
        <w:t xml:space="preserve">announcement (in a citation from the</w:t>
        <w:br w:type="textWrapping"/>
        <w:t xml:space="preserve">Scripture) of one great subject of the</w:t>
        <w:br w:type="textWrapping"/>
        <w:t xml:space="preserve">Epistle,—viz.: JUSTIFICATION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placing himself in intimate</w:t>
        <w:br w:type="textWrapping"/>
        <w:t xml:space="preserve">connexion with his readers by mention of</w:t>
        <w:br w:type="textWrapping"/>
        <w:t xml:space="preserve">and thankfulness for their faith or Christian graces, is the constant habit of 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Paul. The three Epistles, Gal., 1 Tim.,</w:t>
        <w:br w:type="textWrapping"/>
        <w:t xml:space="preserve">and Titus, are the only exceptions: 2 Cor.</w:t>
        <w:br w:type="textWrapping"/>
        <w:t xml:space="preserve">may seem to be such, but in ch.i. 3—22 we</w:t>
        <w:br w:type="textWrapping"/>
        <w:t xml:space="preserve">have an equivalent: see especially, vv. 6, 7.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1BTQR3IxfOaQMlPbyC9DoH2olw==">AMUW2mU6eOy5qVA8i7+x+lvBG/iz5QBHFElUX/wfRZ3ueEdgl5PX49nK+AaPeLY9DTs0HhJDe7pszwuHi/DNAE9ZjQWaNIn89D62rCo6ShQVv2tqa10O578=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