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3, 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20; Gal. iii. 11; but that</w:t>
        <w:br w:type="textWrapping"/>
        <w:t xml:space="preserve">this is at least not necessary, see 2 Cor. v.</w:t>
        <w:br w:type="textWrapping"/>
        <w:t xml:space="preserve">21. This justification is certainly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jective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of God: but it must also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apprehended (i. e. within him</w:t>
        <w:br w:type="textWrapping"/>
        <w:t xml:space="preserve">who is the subject of it), as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subjective, i.e. dependent on such inner</w:t>
        <w:br w:type="textWrapping"/>
        <w:t xml:space="preserve">reception by its subject.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acquittal from guilt, and cheerfulness of</w:t>
        <w:br w:type="textWrapping"/>
        <w:t xml:space="preserve">conscience, attained through faith in God’s</w:t>
        <w:br w:type="textWrapping"/>
        <w:t xml:space="preserve">grace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very frame of mind</w:t>
        <w:br w:type="textWrapping"/>
        <w:t xml:space="preserve">which would be proper to a perfectly</w:t>
        <w:br w:type="textWrapping"/>
        <w:t xml:space="preserve">righteous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such there were,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harmony of the spirit with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peace</w:t>
        <w:br w:type="textWrapping"/>
        <w:t xml:space="preserve">with God. All interpretations which overlook the fact of imputation are erroneous.”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say, with Jowett, that all attempts to</w:t>
        <w:br w:type="textWrapping"/>
        <w:t xml:space="preserve">define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“the</w:t>
        <w:br w:type="textWrapping"/>
        <w:t xml:space="preserve">afterthoughts of theology, which have no</w:t>
        <w:br w:type="textWrapping"/>
        <w:t xml:space="preserve">real place in the interpretation of Scripture,”</w:t>
        <w:br w:type="textWrapping"/>
        <w:t xml:space="preserve">is in fact to shut our eyes to the great doctrinal facts of Christianity, and float off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 into uncertainty about the very foundations of the Apostle’s argument and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verb in the</w:t>
        <w:br w:type="textWrapping"/>
        <w:t xml:space="preserve">original is generally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thing hitherto concealed: but here of</w:t>
        <w:br w:type="textWrapping"/>
        <w:t xml:space="preserve">that gradually more complete realization</w:t>
        <w:br w:type="textWrapping"/>
        <w:t xml:space="preserve">of the state of justification before God by</w:t>
        <w:br w:type="textWrapping"/>
        <w:t xml:space="preserve">faith in Christ, which is the continuing</w:t>
        <w:br w:type="textWrapping"/>
        <w:t xml:space="preserve">and increasing gift of God to the believer</w:t>
        <w:br w:type="textWrapping"/>
        <w:t xml:space="preserve">in the gospel.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points to the condition, or the subjective</w:t>
        <w:br w:type="textWrapping"/>
        <w:t xml:space="preserve">ground. Faith is 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that (1)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trustful assumption of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knowledge,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  <w:br w:type="textWrapping"/>
        <w:t xml:space="preserve">is equivalent to conviction :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trustful</w:t>
        <w:br w:type="textWrapping"/>
        <w:t xml:space="preserve">surrender of the soul, as regards the feeling.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it is especially the latter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these: that trust reposed in God’s grace</w:t>
        <w:br w:type="textWrapping"/>
        <w:t xml:space="preserve">in Christ, which tranquillizes the soul and</w:t>
        <w:br w:type="textWrapping"/>
        <w:t xml:space="preserve">frees it from all guilt,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especially</w:t>
        <w:br w:type="textWrapping"/>
        <w:t xml:space="preserve">trust in the atoning death of Jesus.</w:t>
        <w:br w:type="textWrapping"/>
        <w:t xml:space="preserve">Bound up with this (not by the meaning</w:t>
        <w:br w:type="textWrapping"/>
        <w:t xml:space="preserve">of the words, but by the idea of unconditional trust, which excludes all reserve)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consisting in the abandonment of all merits of a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own,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recognition of his own unworthiness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of redemption.” De Wette.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 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 that believes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seems the most probable interpretation,</w:t>
        <w:br w:type="textWrapping"/>
        <w:t xml:space="preserve">making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almost equivalent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possessing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iii. 22:</w:t>
        <w:br w:type="textWrapping"/>
        <w:t xml:space="preserve">but not entirely,—it is still the aspect,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man, which is receptive</w:t>
        <w:br w:type="textWrapping"/>
        <w:t xml:space="preserve">of the righteousness of God, and to this it</w:t>
        <w:br w:type="textWrapping"/>
        <w:t xml:space="preserve">is revealed. The other principal interpretation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proceeding from faith, and leading to a higher degree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</w:t>
        <w:br w:type="textWrapping"/>
        <w:t xml:space="preserve">seem so suitable or forcible.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shews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by faith is no new 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found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prophets. The words are cited again</w:t>
        <w:br w:type="textWrapping"/>
        <w:t xml:space="preserve">in Gal. iii. 11; Heb. x. 38: in the former</w:t>
        <w:br w:type="textWrapping"/>
        <w:t xml:space="preserve">place with the same purpose as here.</w:t>
        <w:br w:type="textWrapping"/>
        <w:t xml:space="preserve">They are used in Habakkuk with reference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redence given to the prophetic word:</w:t>
        <w:br w:type="textWrapping"/>
        <w:t xml:space="preserve">but properly speaking,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faith 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whatever word or act of God reposed: so</w:t>
        <w:br w:type="textWrapping"/>
        <w:t xml:space="preserve">that the Apostle is free from any charge of</w:t>
        <w:br w:type="textWrapping"/>
        <w:t xml:space="preserve">forcing the words to the present purpose.</w:t>
        <w:br w:type="textWrapping"/>
        <w:t xml:space="preserve">There are two ways of arranging them: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 shall live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righteous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who is righteous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aith,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in fact they amount</w:t>
        <w:br w:type="textWrapping"/>
        <w:t xml:space="preserve">to the same: if the former, which is more</w:t>
        <w:br w:type="textWrapping"/>
        <w:t xml:space="preserve">agreeable to the Heb., be taken, shall live</w:t>
        <w:br w:type="textWrapping"/>
        <w:t xml:space="preserve">must mean, ‘shall live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on, endure in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righteousness,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  <w:br w:type="textWrapping"/>
        <w:t xml:space="preserve">would assert that it was a righteousness</w:t>
        <w:br w:type="textWrapping"/>
        <w:t xml:space="preserve">of faith, as strongly as does the latter.</w:t>
        <w:br w:type="textWrapping"/>
        <w:t xml:space="preserve">Delitzsch says, “The Apostle rests no</w:t>
        <w:br w:type="textWrapping"/>
        <w:t xml:space="preserve">more on our text than it will bear, He</w:t>
        <w:br w:type="textWrapping"/>
        <w:t xml:space="preserve">only places its assertion, that the life of</w:t>
        <w:br w:type="textWrapping"/>
        <w:t xml:space="preserve">the just springs from his faith, in the light</w:t>
        <w:br w:type="textWrapping"/>
        <w:t xml:space="preserve">of the New Test.”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18—XI. 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OCTRINAL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EXPOSITION OF THE ABOVE TRUTH: THAT</w:t>
        <w:br w:type="textWrapping"/>
        <w:t xml:space="preserve">THE GOSPEL IS THE POWER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UNTO</w:t>
        <w:br w:type="textWrapping"/>
        <w:t xml:space="preserve">SALVATION TO EVERY ONE THAT BELIEVETH. And herein,—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inasmuch as this power</w:t>
        <w:br w:type="textWrapping"/>
        <w:t xml:space="preserve">of God consists in the revelation of God’s</w:t>
        <w:br w:type="textWrapping"/>
        <w:t xml:space="preserve">righteousness in man by faith, and in order</w:t>
        <w:br w:type="textWrapping"/>
        <w:t xml:space="preserve">to faith the first requisite is the recognition of man’s unworthiness, and incapability to work a righteousness for 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 begins by proving that ail,</w:t>
        <w:br w:type="textWrapping"/>
        <w:t xml:space="preserve">Gentiles and Jews, are 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UILTY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before</w:t>
        <w:br w:type="textWrapping"/>
        <w:t xml:space="preserve">God, as holding back the truth in un-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i. 18—iii. 20. And</w:t>
        <w:br w:type="textWrapping"/>
        <w:t xml:space="preserve">First, ch. i, 18—32,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GENTILES.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first states the general</w:t>
        <w:br w:type="textWrapping"/>
        <w:t xml:space="preserve">fact,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immediately</w:t>
        <w:br w:type="textWrapping"/>
        <w:t xml:space="preserve">passes off to the consideration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majority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mankind, the Gentiles; reserving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Jews for exceptional consideration</w:t>
        <w:br w:type="textWrapping"/>
        <w:t xml:space="preserve">afterwards.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wrath of God 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yPuUEP25iie1cFocGqOrmiqrMw==">CgMxLjA4AHIhMVlCY1lyejJaWEkwZnpZM3lwaEJGa2tsek9icWZiYlgy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