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if thou art denominated a Jew, and</w:t>
        <w:br w:type="textWrapping"/>
        <w:t xml:space="preserve">&amp;c…, thou that teachest thy neighbour,</w:t>
        <w:br w:type="textWrapping"/>
        <w:t xml:space="preserve">dost thou not teach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?’ &amp;c. The</w:t>
        <w:br w:type="textWrapping"/>
        <w:t xml:space="preserve">address in the second person carries on the</w:t>
        <w:br w:type="textWrapping"/>
        <w:t xml:space="preserve">apostrophe from ver. 5, since when it has</w:t>
        <w:br w:type="textWrapping"/>
        <w:t xml:space="preserve">been broken off by reference to the great</w:t>
        <w:br w:type="textWrapping"/>
        <w:t xml:space="preserve">day of retribution and its rule of judgment; the thou identifies the person</w:t>
        <w:br w:type="textWrapping"/>
        <w:t xml:space="preserve">addressed here as the same indicated</w:t>
        <w:br w:type="textWrapping"/>
        <w:t xml:space="preserve">there, and is here emphatic, as in ver. 1.</w:t>
        <w:br w:type="textWrapping"/>
        <w:t xml:space="preserve">Thus the Apostle by degrees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sets in his</w:t>
        <w:br w:type="textWrapping"/>
        <w:t xml:space="preserve">place as a Jew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somewhat indefinite</w:t>
        <w:br w:type="textWrapping"/>
        <w:t xml:space="preserve">object of his remonstrances hitherto,—and</w:t>
        <w:br w:type="textWrapping"/>
        <w:t xml:space="preserve">reasons with him as such.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restest upon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original word is one</w:t>
        <w:br w:type="textWrapping"/>
        <w:t xml:space="preserve">used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trust; the Septuagint version</w:t>
        <w:br w:type="textWrapping"/>
        <w:t xml:space="preserve">uses it where we have “y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 will they lean</w:t>
        <w:br w:type="textWrapping"/>
        <w:t xml:space="preserve">upon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Micah iii. 11.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18.knowest his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God having been just mentioned, it is left</w:t>
        <w:br w:type="textWrapping"/>
        <w:t xml:space="preserve">to be inferred that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to</w:t>
        <w:br w:type="textWrapping"/>
        <w:t xml:space="preserve">be referred to Him.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approvest things that are more excellent;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provest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 sense of sifting and coming to a conclusion 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things which differ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.The</w:t>
        <w:br w:type="textWrapping"/>
        <w:t xml:space="preserve">words may be rendered either way ; but the</w:t>
        <w:br w:type="textWrapping"/>
        <w:t xml:space="preserve">translation in the text is preferable: the</w:t>
        <w:br w:type="textWrapping"/>
        <w:t xml:space="preserve">other being somewhat flat in meaning,</w:t>
        <w:br w:type="textWrapping"/>
        <w:t xml:space="preserve">and not so applicable.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being (habitually, not in youth only)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instructed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merely catechetically but didactically, in the synagogues, &amp;c.) out of the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a guide of the blind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can hardly</w:t>
        <w:br w:type="textWrapping"/>
        <w:t xml:space="preserve">say with Olshausen, that the Apostle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undoubtedly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saying of our</w:t>
        <w:br w:type="textWrapping"/>
        <w:t xml:space="preserve">Lord, Matt. xv. 14,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rather that both</w:t>
        <w:br w:type="textWrapping"/>
        <w:t xml:space="preserve">that saying and this were allusive to a</w:t>
        <w:br w:type="textWrapping"/>
        <w:t xml:space="preserve">title “leaders of the blind” given to themselves by the Pharisees, with which St.Paul as a Pharisee would be familiar.</w:t>
        <w:br w:type="textWrapping"/>
        <w:t xml:space="preserve">Similarly, the following titles may have</w:t>
        <w:br w:type="textWrapping"/>
        <w:t xml:space="preserve">been well-known and formal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Jewish pride with reference to those</w:t>
        <w:br w:type="textWrapping"/>
        <w:t xml:space="preserve">who were without the covenant.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the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more properly, perhaps,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model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the mere apparent likeness,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representation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law, as</w:t>
        <w:br w:type="textWrapping"/>
        <w:t xml:space="preserve">far as it went, was a reflexion of the holi-</w:t>
        <w:br w:type="textWrapping"/>
        <w:t xml:space="preserve">ness and character of God. Hardly so</w:t>
        <w:br w:type="textWrapping"/>
        <w:t xml:space="preserve">much is here meant, as that the law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contained a foreshadowing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</w:t>
        <w:br w:type="textWrapping"/>
        <w:t xml:space="preserve">the Apostle is speaking now more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knowledge, by which a rule of.</w:t>
        <w:br w:type="textWrapping"/>
        <w:t xml:space="preserve">judgment is set up, sufficient to condemn</w:t>
        <w:br w:type="textWrapping"/>
        <w:t xml:space="preserve">the Jew as well as the Gentile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after</w:t>
        <w:br w:type="textWrapping"/>
        <w:t xml:space="preserve">all, this clause is not to be pressed as</w:t>
        <w:br w:type="textWrapping"/>
        <w:t xml:space="preserve">declaring a fact, but taken subjectively</w:t>
        <w:br w:type="textWrapping"/>
        <w:t xml:space="preserve">with regard to the Jew, after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art confident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understood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estimate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law. 21.) “And</w:t>
        <w:br w:type="textWrapping"/>
        <w:t xml:space="preserve">even the righteous rebuke may no longer</w:t>
        <w:br w:type="textWrapping"/>
        <w:t xml:space="preserve">be restrained. Such advantages and such</w:t>
        <w:br w:type="textWrapping"/>
        <w:t xml:space="preserve">pretensions ought undoubtedly to be followed and justified by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corresponding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course of holy conduct.”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Ewbank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jbjbrISc09sCQgcaKpE/MT0llQ==">AMUW2mVCAFaDAfkk57zn6KBtKKis4rTnzCWo3ENH9l9GTMSk5fofTM4floYNBLG/vA4X4sEu6gA5TfkJHCCc27aQAcdGZP0ZY/M/KYUmu9Lc4Ll6UmAMnjI=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