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departing from the letter.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 sepulchre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an emblem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which their throat, as the instrument of their speech, is compared.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proves the applicability of these</w:t>
        <w:br w:type="textWrapping"/>
        <w:t xml:space="preserve">texts to the Jews by their being found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Scriptures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not in 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Gentile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representation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might exclude Jews,</w:t>
        <w:br w:type="textWrapping"/>
        <w:t xml:space="preserve">but spoken universally, in those very</w:t>
        <w:br w:type="textWrapping"/>
        <w:t xml:space="preserve">books which were the cherished possession</w:t>
        <w:br w:type="textWrapping"/>
        <w:t xml:space="preserve">of the Jews themselves.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in the widest sense, as importing the whole O. T., the law, prophets,</w:t>
        <w:br w:type="textWrapping"/>
        <w:t xml:space="preserve">and Psalms: see John x. 34, where our</w:t>
        <w:br w:type="textWrapping"/>
        <w:t xml:space="preserve">Lord cites a Psalm as in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speaketh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merely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;” the verb</w:t>
        <w:br w:type="textWrapping"/>
        <w:t xml:space="preserve">is different the second time, and the sense</w:t>
        <w:br w:type="textWrapping"/>
        <w:t xml:space="preserve">is, that whatever the law says, its speech</w:t>
        <w:br w:type="textWrapping"/>
        <w:t xml:space="preserve">or address is to,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its language</w:t>
        <w:br w:type="textWrapping"/>
        <w:t xml:space="preserve">belongs to, is true of, when not otherwise</w:t>
        <w:br w:type="textWrapping"/>
        <w:t xml:space="preserve">specified,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who are 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  <w:t xml:space="preserve">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the Jews cannot</w:t>
        <w:br w:type="textWrapping"/>
        <w:t xml:space="preserve">plead exemption from this description or</w:t>
        <w:br w:type="textWrapping"/>
        <w:t xml:space="preserve">its consequences.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]—not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the bringing in all the</w:t>
        <w:br w:type="textWrapping"/>
        <w:t xml:space="preserve">world guilty before God is an especial and</w:t>
        <w:br w:type="textWrapping"/>
        <w:t xml:space="preserve">direct aim of the revelation of God’s justice</w:t>
        <w:br w:type="textWrapping"/>
        <w:t xml:space="preserve">in the law,—that His grace by faith in</w:t>
        <w:br w:type="textWrapping"/>
        <w:t xml:space="preserve">Christ may come on all who abandon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elf-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righteousness and believe the gospel.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mouth may be stopped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mouth is shut, and his vaunting in the</w:t>
        <w:br w:type="textWrapping"/>
        <w:t xml:space="preserve">law taken away, then much more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whole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above,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6) becomes guilty before God.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solemn and important conclusion of</w:t>
        <w:br w:type="textWrapping"/>
        <w:t xml:space="preserve">all the foregoing argument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not only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 from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is also the great</w:t>
        <w:br w:type="textWrapping"/>
        <w:t xml:space="preserve">truth, which when arrived at, is seen to</w:t>
        <w:br w:type="textWrapping"/>
        <w:t xml:space="preserve">have necessitated the subordinate conclusion of ver. 19, the stopping of every mouth,</w:t>
        <w:br w:type="textWrapping"/>
        <w:t xml:space="preserve">&amp;c. And therefore it is introduced, not</w:t>
        <w:br w:type="textWrapping"/>
        <w:t xml:space="preserve">with an illative conjunction,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(which the original word will not bear),</w:t>
        <w:br w:type="textWrapping"/>
        <w:t xml:space="preserve">but with ‘because.’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by the works</w:t>
        <w:br w:type="textWrapping"/>
        <w:t xml:space="preserve">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OD’S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whether in the</w:t>
        <w:br w:type="textWrapping"/>
        <w:t xml:space="preserve">partial revelation of it written in the consciences of the Gentiles, or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more</w:t>
        <w:br w:type="textWrapping"/>
        <w:t xml:space="preserve">complete one given by Moses to the Jews,</w:t>
        <w:br w:type="textWrapping"/>
        <w:t xml:space="preserve">—not,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works of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 such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idea of law seems to have ever been before</w:t>
        <w:br w:type="textWrapping"/>
        <w:t xml:space="preserve">the mind of the Apostle, but always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emanating from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no flesh</w:t>
        <w:br w:type="textWrapping"/>
        <w:t xml:space="preserve">be justified before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future as implying impossibility,—perhaps also as referring to the great day when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all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</w:t>
        <w:br w:type="textWrapping"/>
        <w:t xml:space="preserve">stand before God,—perhaps also as a citation from Ps. cxliii. 2,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thy sight shall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i6URZbfdsin7ey6737eoECyE+A==">AMUW2mWZGNvRL7Thcx57OmWPTKDHZ3ki+3lFtHqTozSqbIpZCYt16b8fs28IYe2ESI4lnqglVP8Z4+5c2GhgGSOSoqfaQD3NfWgN4w6USYbDzJjzthbNAHw=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