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Jewish boasting is excluded, St. Paul purposes to take*the ground of their own law,</w:t>
        <w:br w:type="textWrapping"/>
        <w:t xml:space="preserve">and demonstrate it from that. He will</w:t>
        <w:br w:type="textWrapping"/>
        <w:t xml:space="preserve">shew that God is not (the God) of Jews</w:t>
        <w:br w:type="textWrapping"/>
        <w:t xml:space="preserve">alone, but of Gentiles, and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very</w:t>
        <w:br w:type="textWrapping"/>
        <w:t xml:space="preserve">point was involved in the promise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made</w:t>
        <w:br w:type="textWrapping"/>
        <w:t xml:space="preserve">to Abraham,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believing which he was</w:t>
        <w:br w:type="textWrapping"/>
        <w:t xml:space="preserve">justified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iv.), and therefore that it</w:t>
        <w:br w:type="textWrapping"/>
        <w:t xml:space="preserve">lies in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very root and kernel of the law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But, as often elsewhere, he passes</w:t>
        <w:br w:type="textWrapping"/>
        <w:t xml:space="preserve">off from this idea again and again, recurring to it however continually,—and</w:t>
        <w:br w:type="textWrapping"/>
        <w:t xml:space="preserve">eventually when he brings forward his</w:t>
        <w:br w:type="textWrapping"/>
        <w:t xml:space="preserve">proof text (in chap. iv. 17),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Abraham's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this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has become the</w:t>
        <w:br w:type="textWrapping"/>
        <w:t xml:space="preserve">leading subject.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 seeing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at least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(if we are to hold to what is</w:t>
        <w:br w:type="textWrapping"/>
        <w:t xml:space="preserve">manifest as a result of our former argument)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is one, which shall justify the</w:t>
        <w:br w:type="textWrapping"/>
        <w:t xml:space="preserve">circumcision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the Jews, after the</w:t>
        <w:br w:type="textWrapping"/>
        <w:t xml:space="preserve">analogy of chap. ii. 26)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</w:t>
        <w:br w:type="textWrapping"/>
        <w:t xml:space="preserve">preliminary condition,—the state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justification arises)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aith, and</w:t>
        <w:br w:type="textWrapping"/>
        <w:t xml:space="preserve">the uncircumcision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Gentiles)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through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means of their)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Too much</w:t>
        <w:br w:type="textWrapping"/>
        <w:t xml:space="preserve">stress must not be laid on the difference of</w:t>
        <w:br w:type="textWrapping"/>
        <w:t xml:space="preserve">the two prepositions (see ver. 22 and</w:t>
        <w:br w:type="textWrapping"/>
        <w:t xml:space="preserve">note). The former expresses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justification, generally taken,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out</w:t>
        <w:br w:type="textWrapping"/>
        <w:t xml:space="preserve">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latter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whereby</w:t>
        <w:br w:type="textWrapping"/>
        <w:t xml:space="preserve">the man lays hold on justification,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his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former is the objective ground,</w:t>
        <w:br w:type="textWrapping"/>
        <w:t xml:space="preserve">the latter the subjective medium.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again the Jew may object, if this is the</w:t>
        <w:br w:type="textWrapping"/>
        <w:t xml:space="preserve">case, if Faith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Faith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justification for all, circumcised</w:t>
        <w:br w:type="textWrapping"/>
        <w:t xml:space="preserve">or uncircumcised,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surely the law is set aside</w:t>
        <w:br w:type="textWrapping"/>
        <w:t xml:space="preserve">and made 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this is not so, the</w:t>
        <w:br w:type="textWrapping"/>
        <w:t xml:space="preserve">Apostle both here asserts, and is prepared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shew by working out the proposition of</w:t>
        <w:br w:type="textWrapping"/>
        <w:t xml:space="preserve">ver. 29, that the law itself belonged to a</w:t>
        <w:br w:type="textWrapping"/>
        <w:t xml:space="preserve">covenant whose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original recipient was justified by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whose main promise was,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reception and blessing of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the law of Moses, as every where in the Epistle. We may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safely say that the Apostle never argues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abstract, in the sense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system of</w:t>
        <w:br w:type="textWrapping"/>
        <w:t xml:space="preserve">precepts,—its attributes or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but always of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law of God given by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speaking</w:t>
        <w:br w:type="textWrapping"/>
        <w:t xml:space="preserve">of the Jews, as here: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written in their consciences, when</w:t>
        <w:br w:type="textWrapping"/>
        <w:t xml:space="preserve">speaking of the Gentiles: and when including both,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God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His written as well as His unwritten will.—Many Commentators have taken this</w:t>
        <w:br w:type="textWrapping"/>
        <w:t xml:space="preserve">verse (being misled in some eases by its</w:t>
        <w:br w:type="textWrapping"/>
        <w:t xml:space="preserve">place at the end of the chapter) as standing</w:t>
        <w:br w:type="textWrapping"/>
        <w:t xml:space="preserve">by itself, and have gone into the abstract</w:t>
        <w:br w:type="textWrapping"/>
        <w:t xml:space="preserve">grounds why faith, does not make void the</w:t>
        <w:br w:type="textWrapping"/>
        <w:t xml:space="preserve">law (or moral obedience) ; which, however</w:t>
        <w:br w:type="textWrapping"/>
        <w:t xml:space="preserve">true,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 place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design being</w:t>
        <w:br w:type="textWrapping"/>
        <w:t xml:space="preserve">to shew that the law itself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contained this</w:t>
        <w:br w:type="textWrapping"/>
        <w:t xml:space="preserve">very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founded in the promise to Abraham on a covenant embracing</w:t>
        <w:br w:type="textWrapping"/>
        <w:t xml:space="preserve">Jews and Gentiles,—and therefore was not</w:t>
        <w:br w:type="textWrapping"/>
        <w:t xml:space="preserve">degraded from its dignity by the doctrine,</w:t>
        <w:br w:type="textWrapping"/>
        <w:t xml:space="preserve">but rather established as a part of God’s</w:t>
        <w:br w:type="textWrapping"/>
        <w:t xml:space="preserve">dealings,—consistent with, explaining, and</w:t>
        <w:br w:type="textWrapping"/>
        <w:t xml:space="preserve">explained by, the Gospel.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justified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reading and punctuation of this</w:t>
        <w:br w:type="textWrapping"/>
        <w:t xml:space="preserve">verse present some difficulties. Ax to the</w:t>
        <w:br w:type="textWrapping"/>
        <w:t xml:space="preserve">former, I may remark that the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  <w:br w:type="textWrapping"/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omitted by our oldest MS. authority, and placed variously by others.</w:t>
        <w:br w:type="textWrapping"/>
        <w:t xml:space="preserve">Omitting it,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stand,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shall we say then concerning</w:t>
        <w:br w:type="textWrapping"/>
        <w:t xml:space="preserve">Abraham, our father as pertaining to the</w:t>
        <w:br w:type="textWrapping"/>
        <w:t xml:space="preserve">flesh?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If the verb be retained, the</w:t>
        <w:br w:type="textWrapping"/>
        <w:t xml:space="preserve">punctuation may be,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shall we say</w:t>
        <w:br w:type="textWrapping"/>
        <w:t xml:space="preserve">then? that Abraham, our father, as pertaining to the flesh, hath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(righteousness, or some advantage over Gentiles) ?</w:t>
        <w:br w:type="textWrapping"/>
        <w:t xml:space="preserve">This has been adopted by Grotius and</w:t>
        <w:br w:type="textWrapping"/>
        <w:t xml:space="preserve">others of some authority. Another mode,</w:t>
        <w:br w:type="textWrapping"/>
        <w:t xml:space="preserve">slightly differing, may be,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then?</w:t>
        <w:br w:type="textWrapping"/>
        <w:t xml:space="preserve">shall we say,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But as Tholuck</w:t>
        <w:br w:type="textWrapping"/>
        <w:t xml:space="preserve">well remarks, both these methods of punctuating would presuppose that St. Paul</w:t>
        <w:br w:type="textWrapping"/>
        <w:t xml:space="preserve">had appeared to give some reason in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x6m6nYP/t9vRoiAs88pC1yJaEg==">AMUW2mVC2LfUyPuB9OLQCuR6ZFZ0MEDvivl5cIQRE1Q9V09o28g1ocfuXL22VAL/IwPScuNj/zq0KLlyayvujrlBZSNlxXTCnSvXUXgVyeE0fx2ZbYd6Iys=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