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order that he might he the father of all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Abraham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 of the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</w:t>
        <w:br w:type="textWrapping"/>
        <w:t xml:space="preserve">triumph and recognition of that faith</w:t>
        <w:br w:type="textWrapping"/>
        <w:t xml:space="preserve">whereby he was constituted so, was not</w:t>
        <w:br w:type="textWrapping"/>
        <w:t xml:space="preserve">during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during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faithful,</w:t>
        <w:br w:type="textWrapping"/>
        <w:t xml:space="preserve">his descendants, must not be confined to</w:t>
        <w:br w:type="textWrapping"/>
        <w:t xml:space="preserve">the circumcised, but must take in the</w:t>
        <w:br w:type="textWrapping"/>
        <w:t xml:space="preserve">uncircumcised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appellation</w:t>
        <w:br w:type="textWrapping"/>
        <w:t xml:space="preserve">father in this sense, Tholuck compares the</w:t>
        <w:br w:type="textWrapping"/>
        <w:t xml:space="preserve">expression Gen. iv. 20; 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54,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Phinees, our father in being zealous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fervent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a saying of Maimonides,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“Moses is the father of all the prophets</w:t>
        <w:br w:type="textWrapping"/>
        <w:t xml:space="preserve">who succeeded him.” See also our Lord’s</w:t>
        <w:br w:type="textWrapping"/>
        <w:t xml:space="preserve">saying, John viii. 37, 39. One of the</w:t>
        <w:br w:type="textWrapping"/>
        <w:t xml:space="preserve">Rabbinical books has a sentiment remarkably coincident with that in our text:</w:t>
        <w:br w:type="textWrapping"/>
        <w:t xml:space="preserve">“Abraham is the father of all those who follow his faith.”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righteousness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be reckoned unto them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parenthetical, whether brackets</w:t>
        <w:br w:type="textWrapping"/>
        <w:t xml:space="preserve">are used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ot; for otherwise the construction from the former to the latter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namely, that which Abraham’s faith was reckoned as being,—the</w:t>
        <w:br w:type="textWrapping"/>
        <w:t xml:space="preserve">righteousness of God, then hidden though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imputed, but now revealed in Jesus Christ.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might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father</w:t>
        <w:br w:type="textWrapping"/>
        <w:t xml:space="preserve">of the 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circumcised)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(‘for those,’ ‘in the case of those’)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not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(physically)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circumcision, but to them also who walk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steps of the faith of our father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(speaking here as a Jew)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Abraham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</w:t>
        <w:br w:type="textWrapping"/>
        <w:t xml:space="preserve">he had)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in 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through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RIGHTEOUSNESS OF FAITH, was THE</w:t>
        <w:br w:type="textWrapping"/>
        <w:t xml:space="preserve">INHERITANCE OF THE WORLD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promised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Abraham: so that not only they who are</w:t>
        <w:br w:type="textWrapping"/>
        <w:t xml:space="preserve">of the law, but they who follow Abraham's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EIRS OF THIS PROMISE.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argumentation is an expansion of</w:t>
        <w:br w:type="textWrapping"/>
        <w:t xml:space="preserve">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 of all that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above. If these believers are Abraham’s</w:t>
        <w:br w:type="textWrapping"/>
        <w:t xml:space="preserve">seed, then his promised inheritance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</w:t>
        <w:br w:type="textWrapping"/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,’—nor,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works of the 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aw—nor,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the righteousness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the law</w:t>
        <w:br w:type="textWrapping"/>
        <w:t xml:space="preserve">should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efficient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medium, of the promise. None of these it</w:t>
        <w:br w:type="textWrapping"/>
        <w:t xml:space="preserve">was,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fact.—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not</w:t>
        <w:br w:type="textWrapping"/>
        <w:t xml:space="preserve">through the law was the promise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(made)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Abraham, or to his seed, viz. that he</w:t>
        <w:br w:type="textWrapping"/>
        <w:t xml:space="preserve">should he heir of the world, but by the</w:t>
        <w:br w:type="textWrapping"/>
        <w:t xml:space="preserve">righteousness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specification</w:t>
        <w:br w:type="textWrapping"/>
        <w:t xml:space="preserve">of the promise has perplexed most of the</w:t>
        <w:br w:type="textWrapping"/>
        <w:t xml:space="preserve">commentators. The actual promise, Gen.</w:t>
        <w:br w:type="textWrapping"/>
        <w:t xml:space="preserve">(xii, 2, 3) xiii,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17; xv. 18; xvii. 8,</w:t>
        <w:br w:type="textWrapping"/>
        <w:t xml:space="preserve">was the possession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land of Canaan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the Rabbis already had seen, and</w:t>
        <w:br w:type="textWrapping"/>
        <w:t xml:space="preserve">St. Paul, who had been brought up in</w:t>
        <w:br w:type="textWrapping"/>
        <w:t xml:space="preserve">their learning, held fast the truth,—that</w:t>
        <w:br w:type="textWrapping"/>
        <w:t xml:space="preserve">much more was intended in the words</w:t>
        <w:br w:type="textWrapping"/>
        <w:t xml:space="preserve">which accompany this promise, “In thee</w:t>
        <w:br w:type="textWrapping"/>
        <w:t xml:space="preserve">(or in thy seed) shall all families of the</w:t>
        <w:br w:type="textWrapping"/>
        <w:t xml:space="preserve">earth be blessed,” than the mere possession</w:t>
        <w:br w:type="textWrapping"/>
        <w:t xml:space="preserve">of Canaan. They distinctly trace the gift</w:t>
        <w:br w:type="textWrapping"/>
        <w:t xml:space="preserve">of the world to Abraham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to the foregoing. They say, “The</w:t>
        <w:br w:type="textWrapping"/>
        <w:t xml:space="preserve">garden is the world, which God delivered</w:t>
        <w:br w:type="textWrapping"/>
        <w:t xml:space="preserve">to Abraham, to whom it was said,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thou shalt be a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is not the possession of Canaan merely,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VbL1GzCAMGscgvQ4CB48tAZPCw==">AMUW2mUZKO0CkVb0f/+HdvcLkYMlmWwEzCN+vLvYJ4JNck7kzBeN+JHHGThbrBOQk+e+x0TPQ5vGl/MuOZ7CorDWJjdmT+ICyyM49PgKy6O2IpqH6weEAmM=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