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be not as though they 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not</w:t>
        <w:br w:type="textWrapping"/>
        <w:t xml:space="preserve">confined to the case in point, but is a</w:t>
        <w:br w:type="textWrapping"/>
        <w:t xml:space="preserve">general attribute of all God’s words concerning things of time: past, present, and</w:t>
        <w:br w:type="textWrapping"/>
        <w:t xml:space="preserve">future, being to His Omnipotence and Omniscience,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His purposes,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</w:t>
        <w:br w:type="textWrapping"/>
        <w:t xml:space="preserve">formed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accomplished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save in so far as</w:t>
        <w:br w:type="textWrapping"/>
        <w:t xml:space="preserve">that evolution of secondary causes and</w:t>
        <w:br w:type="textWrapping"/>
        <w:t xml:space="preserve">effects intervenes, which is also His purpose. This also Abraham apprehended by</w:t>
        <w:br w:type="textWrapping"/>
        <w:t xml:space="preserve">his faith, which rested on God’s absolute</w:t>
        <w:br w:type="textWrapping"/>
        <w:t xml:space="preserve">power to do what He had promised (see</w:t>
        <w:br w:type="textWrapping"/>
        <w:t xml:space="preserve">below).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18–22.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more detailed</w:t>
        <w:br w:type="textWrapping"/>
        <w:t xml:space="preserve">description of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(Abraham’s)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faith, as</w:t>
        <w:br w:type="textWrapping"/>
        <w:t xml:space="preserve">reposed on God’s Omnipotence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against hope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(where there was nothing to hope)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believed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preposition</w:t>
        <w:br w:type="textWrapping"/>
        <w:t xml:space="preserve">rendered in, in its literal import signifying</w:t>
        <w:br w:type="textWrapping"/>
        <w:t xml:space="preserve">close adherence, is accordingly used to</w:t>
        <w:br w:type="textWrapping"/>
        <w:t xml:space="preserve">connect an act with that to which it is</w:t>
        <w:br w:type="textWrapping"/>
        <w:t xml:space="preserve">immediately attached as its ground or</w:t>
        <w:br w:type="textWrapping"/>
        <w:t xml:space="preserve">accompaniment. Thus here, the hope</w:t>
        <w:br w:type="textWrapping"/>
        <w:t xml:space="preserve">existed as the necessary concomitant and</w:t>
        <w:br w:type="textWrapping"/>
        <w:t xml:space="preserve">in some sense the condition of the faith)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hope, in order to his becoming the father</w:t>
        <w:br w:type="textWrapping"/>
        <w:t xml:space="preserve">of many nations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 e. as a step in the process of his becoming, and one necessary to</w:t>
        <w:br w:type="textWrapping"/>
        <w:t xml:space="preserve">that process going forward. He would</w:t>
        <w:br w:type="textWrapping"/>
        <w:t xml:space="preserve">never have become the father of many</w:t>
        <w:br w:type="textWrapping"/>
        <w:t xml:space="preserve">nations, had he not believed).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the stars of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quoted,—and compare Ps. cxlvii. 4.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reading (with or without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  <w:t xml:space="preserve">must first be considered. Reading not,</w:t>
        <w:br w:type="textWrapping"/>
        <w:t xml:space="preserve">the sense will be,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not being weak in</w:t>
        <w:br w:type="textWrapping"/>
        <w:t xml:space="preserve">faith, he paid no attention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&amp;c. Omitting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not being weak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(his)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faith, he was well aware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did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these,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agrees the</w:t>
        <w:br w:type="textWrapping"/>
        <w:t xml:space="preserve">better with ver. 20,—but the first very</w:t>
        <w:br w:type="textWrapping"/>
        <w:t xml:space="preserve">much better suits the context ; the object</w:t>
        <w:br w:type="textWrapping"/>
        <w:t xml:space="preserve">being,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extol Abraham’s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</w:t>
        <w:br w:type="textWrapping"/>
        <w:t xml:space="preserve">introduce the new and somewhat vapid</w:t>
        <w:br w:type="textWrapping"/>
        <w:t xml:space="preserve">notice of his being well aware of those</w:t>
        <w:br w:type="textWrapping"/>
        <w:t xml:space="preserve">facts of which it may be assumed as a</w:t>
        <w:br w:type="textWrapping"/>
        <w:t xml:space="preserve">matter of course that he could not be</w:t>
        <w:br w:type="textWrapping"/>
        <w:t xml:space="preserve">ignorant. The Apostle does not want to</w:t>
        <w:br w:type="textWrapping"/>
        <w:t xml:space="preserve">prove that Abraham was in his sound</w:t>
        <w:br w:type="textWrapping"/>
        <w:t xml:space="preserve">senses when he believed the promise, but</w:t>
        <w:br w:type="textWrapping"/>
        <w:t xml:space="preserve">that he was so strong in faith as to be</w:t>
        <w:br w:type="textWrapping"/>
        <w:t xml:space="preserve">able to overleap all difficulties in its way.</w:t>
        <w:br w:type="textWrapping"/>
        <w:t xml:space="preserve">Abraham did indeed feel and express the</w:t>
        <w:br w:type="textWrapping"/>
        <w:t xml:space="preserve">difficulty (Gen. xvii. 17), but his faith</w:t>
        <w:br w:type="textWrapping"/>
        <w:t xml:space="preserve">overcame it, and he ceased to regard it.</w:t>
        <w:br w:type="textWrapping"/>
        <w:t xml:space="preserve">But most probably St. Paul here refers only</w:t>
        <w:br w:type="textWrapping"/>
        <w:t xml:space="preserve">to Gen. xv. 5, 6, where his belief was implicit and unquestioning.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about 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hundred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Abraham’s own expression in</w:t>
        <w:br w:type="textWrapping"/>
        <w:t xml:space="preserve">the place quoted, where he also describes</w:t>
        <w:br w:type="textWrapping"/>
        <w:t xml:space="preserve">Sarah as being 90. His exact age was 99,</w:t>
        <w:br w:type="textWrapping"/>
        <w:t xml:space="preserve">Gen. xvii. 1, 24.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Literally,</w:t>
        <w:br w:type="textWrapping"/>
        <w:t xml:space="preserve">but with regard to the promise of God, he</w:t>
        <w:br w:type="textWrapping"/>
        <w:t xml:space="preserve">doubted not through unbelief, but was</w:t>
        <w:br w:type="textWrapping"/>
        <w:t xml:space="preserve">strong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(lit. ‘was strengthened,’ ‘shewed</w:t>
        <w:br w:type="textWrapping"/>
        <w:t xml:space="preserve">himself strong’)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(‘with regard to</w:t>
        <w:br w:type="textWrapping"/>
        <w:t xml:space="preserve">faith’),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giving glory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(viz. by</w:t>
        <w:br w:type="textWrapping"/>
        <w:t xml:space="preserve">recognizing His almighty power: see</w:t>
        <w:br w:type="textWrapping"/>
        <w:t xml:space="preserve">reff., especially Luke).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account of the nature of this faith,</w:t>
        <w:br w:type="textWrapping"/>
        <w:t xml:space="preserve">which the Apostle has now since ver. 18</w:t>
        <w:br w:type="textWrapping"/>
        <w:t xml:space="preserve">been setting forth;—because it was a</w:t>
        <w:br w:type="textWrapping"/>
        <w:t xml:space="preserve">simple unconditional credence of God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CuGHDfSAiG/9hibvq71BMFJwxg==">AMUW2mWHem7OKYT6oAJi+Gxjmkecc0e043D9daipQOmk4eS8iDlyKOuEgZspkRQriNvwz3Mte5+S6u+EqAQbFjfqxAwNXB4DPFh+3g033VvbtZiLTAdXajg=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