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could all men sin,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before the law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 This is</w:t>
        <w:br w:type="textWrapping"/>
        <w:t xml:space="preserve">now explained.—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up to (the time of)</w:t>
        <w:br w:type="textWrapping"/>
        <w:t xml:space="preserve">the law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(equivalent to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from Adam to</w:t>
        <w:br w:type="textWrapping"/>
        <w:t xml:space="preserve">Moses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ver. 14),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there was sin in the</w:t>
        <w:br w:type="textWrapping"/>
        <w:t xml:space="preserve">world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(‘men sinned,’ see Gen. vi. 5–13;</w:t>
        <w:br w:type="textWrapping"/>
        <w:t xml:space="preserve">committed actual sin: not, men were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accounted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sinners because of Adam’s sin: the Apostle reminds us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historical fact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there was sin in the world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during</w:t>
        <w:br w:type="textWrapping"/>
        <w:t xml:space="preserve">this period):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sin is not reckoned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(as</w:t>
        <w:br w:type="textWrapping"/>
        <w:t xml:space="preserve">transgression)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where the law is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This 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imputed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has given rise to much</w:t>
        <w:br w:type="textWrapping"/>
        <w:t xml:space="preserve">dispute. Very many Commentators explain it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consciousness of sin by the sinner himself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in ch. vii. 7: but (1) this is not</w:t>
        <w:br w:type="textWrapping"/>
        <w:t xml:space="preserve">the natural sense of the word, which implies TWO parties, one of whom sets down</w:t>
        <w:br w:type="textWrapping"/>
        <w:t xml:space="preserve">something to the account of the other: (2)</w:t>
        <w:br w:type="textWrapping"/>
        <w:t xml:space="preserve">this interpretation would bring in a new</w:t>
        <w:br w:type="textWrapping"/>
        <w:t xml:space="preserve">and irrelevant element,—for the Apostle is</w:t>
        <w:br w:type="textWrapping"/>
        <w:t xml:space="preserve">not speaking in this chapter at all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subjective human consciousness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throughout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objective truths with regard to the</w:t>
        <w:br w:type="textWrapping"/>
        <w:t xml:space="preserve">divine dealings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and (3) it would be altogether inconsistent with the declarations</w:t>
        <w:br w:type="textWrapping"/>
        <w:t xml:space="preserve">of ch. ii. 15,—where the consciousness of sin</w:t>
        <w:br w:type="textWrapping"/>
        <w:t xml:space="preserve">on the part of those who had not the law</w:t>
        <w:br w:type="textWrapping"/>
        <w:t xml:space="preserve">is distinctly asserted.—I am persuaded that</w:t>
        <w:br w:type="textWrapping"/>
        <w:t xml:space="preserve">the right sense 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imputed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set down as</w:t>
        <w:br w:type="textWrapping"/>
        <w:t xml:space="preserve">transgression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,—‘put in formal account,”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In the ease of those who had</w:t>
        <w:br w:type="textWrapping"/>
        <w:t xml:space="preserve">not the written law, sin is not formally</w:t>
        <w:br w:type="textWrapping"/>
        <w:t xml:space="preserve">reckoned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transgression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set over against</w:t>
        <w:br w:type="textWrapping"/>
        <w:t xml:space="preserve">the command: but in a certain sense, as</w:t>
        <w:br w:type="textWrapping"/>
        <w:t xml:space="preserve">distinctly proved ch. ii. 9–16, it is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reckoned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they are condemned for it. Nor is there any inconsistency in this view.</w:t>
        <w:br w:type="textWrapping"/>
        <w:t xml:space="preserve">Other passages of Paul’s writings support</w:t>
        <w:br w:type="textWrapping"/>
        <w:t xml:space="preserve">and elucidate it. He states the object of</w:t>
        <w:br w:type="textWrapping"/>
        <w:t xml:space="preserve">the law to be, ch. vii. 13, 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hat sin may by</w:t>
        <w:br w:type="textWrapping"/>
        <w:t xml:space="preserve">the commandment become exceeding sinful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The revelation of the law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exaggerated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brought into prominent and formal manifestation, the sinfulness of sin, which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was</w:t>
        <w:br w:type="textWrapping"/>
        <w:t xml:space="preserve">before culpable and punishable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in a</w:t>
        <w:br w:type="textWrapping"/>
        <w:t xml:space="preserve">less degree. With this view also agree</w:t>
        <w:br w:type="textWrapping"/>
        <w:t xml:space="preserve">Acts xvii. 30; ch. ii. 12; and iii. 25, in so</w:t>
        <w:br w:type="textWrapping"/>
        <w:t xml:space="preserve">far as they state an analogous case. The</w:t>
        <w:br w:type="textWrapping"/>
        <w:t xml:space="preserve">objection to taking the words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relatively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 not fully reckoned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will hardly be</w:t>
        <w:br w:type="textWrapping"/>
        <w:t xml:space="preserve">urged by those who bear in mind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Apostle’s habit of constantly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ating relative truths as positive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omitting the qualifying particles: see, for example, ch. vii. 7,</w:t>
        <w:br w:type="textWrapping"/>
        <w:t xml:space="preserve">where with the words “si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had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known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both, we must supply qualifications (see notes there).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Nevertheless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notwithstanding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assertion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sin is not fully reckoned</w:t>
        <w:br w:type="textWrapping"/>
        <w:t xml:space="preserve">where the law is not)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death reigned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(was a</w:t>
        <w:br w:type="textWrapping"/>
        <w:t xml:space="preserve">power to which all succumbed)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Adam</w:t>
        <w:br w:type="textWrapping"/>
        <w:t xml:space="preserve">to Moses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period included is the</w:t>
        <w:br w:type="textWrapping"/>
        <w:t xml:space="preserve">same as that marked out by the words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ntil the law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above: i.e. although the full</w:t>
        <w:br w:type="textWrapping"/>
        <w:t xml:space="preserve">imputation of sin did not take place between Adam and Moses,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universality</w:t>
        <w:br w:type="textWrapping"/>
        <w:t xml:space="preserve">of death is a proof that all sinned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</w:t>
        <w:br w:type="textWrapping"/>
        <w:t xml:space="preserve">death is the consequence of sin:—in</w:t>
        <w:br w:type="textWrapping"/>
        <w:t xml:space="preserve">confirmation of ver. 12),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even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(notwithstanding the different degrees of sin and</w:t>
        <w:br w:type="textWrapping"/>
        <w:t xml:space="preserve">guilt out of, and under, the law)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over</w:t>
        <w:br w:type="textWrapping"/>
        <w:t xml:space="preserve">them that sinned not after the likeness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TRANSGRESSION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of Adam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emphasis lies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transgression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distinguished from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They all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had not, like Adam,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transgressed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positive</w:t>
        <w:br w:type="textWrapping"/>
        <w:t xml:space="preserve">revealed command. There is no reference</w:t>
        <w:br w:type="textWrapping"/>
        <w:t xml:space="preserve">here, as some Commentators have supposed, to the ease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idiots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,—nor (as others)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those who lived pious</w:t>
        <w:br w:type="textWrapping"/>
        <w:t xml:space="preserve">lives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aim is to prove, that the seed</w:t>
        <w:br w:type="textWrapping"/>
        <w:t xml:space="preserve">of sin planted in the race by the one man</w:t>
        <w:br w:type="textWrapping"/>
        <w:t xml:space="preserve">Adam, has sprung up and borne fruit in</w:t>
        <w:br w:type="textWrapping"/>
        <w:t xml:space="preserve">all, so as to bring them under death;—</w:t>
        <w:br w:type="textWrapping"/>
        <w:t xml:space="preserve">death temporal, and spiritual;—of these,</w:t>
        <w:br w:type="textWrapping"/>
        <w:t xml:space="preserve">some have sinned without the law, 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</w:t>
        <w:br w:type="textWrapping"/>
        <w:t xml:space="preserve">as Adam did, and as those after Moses</w:t>
        <w:br w:type="textWrapping"/>
        <w:t xml:space="preserve">did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though sin is not formally reckoned against them, death, the consequence</w:t>
        <w:br w:type="textWrapping"/>
        <w:t xml:space="preserve">of sin, reigned, as matter of historical fa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t,</w:t>
        <w:br w:type="textWrapping"/>
        <w:t xml:space="preserve">over them also. It is most important to</w:t>
        <w:br w:type="textWrapping"/>
        <w:t xml:space="preserve">the clear understanding of this weighty</w:t>
        <w:br w:type="textWrapping"/>
        <w:t xml:space="preserve">passage to bear in mind, that the first</w:t>
        <w:br w:type="textWrapping"/>
        <w:t xml:space="preserve">member of the comparison, as far as it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this: ‘As by Adam’s transgression, of which we are by descent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inheritors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we have become (not by imputation</w:t>
        <w:br w:type="textWrapping"/>
        <w:t xml:space="preserve">merely, but by propensity)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sinners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have thus incurred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so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.....see below),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is a type of him that</w:t>
        <w:br w:type="textWrapping"/>
        <w:t xml:space="preserve">is to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and perhaps better,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  <w:br w:type="textWrapping"/>
        <w:t xml:space="preserve">the future Adam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second Adam, viz.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dpQhKLtApOKwLeXTZ2VdryqPWdQ==">AMUW2mWDJ/5CVdQ4VIZZHUOwC9u2vP0lPY/nv2F2tJcrCr30WJFjOcJ4bBMx8mEJdZXZRn3sVLBagZx+NGvYojgp69Kr3DePSQiIkVJRNEp+qEnmyCVQ8DQ=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