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obeyed)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unto righteousness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(with righteousness as its result; not imputed merely,</w:t>
        <w:br w:type="textWrapping"/>
        <w:t xml:space="preserve">nor implanted merely, but RIGHTEOUSNESS</w:t>
        <w:br w:type="textWrapping"/>
        <w:t xml:space="preserve">in its most general sense, as the contrast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,—the state of blessedness induced</w:t>
        <w:br w:type="textWrapping"/>
        <w:t xml:space="preserve">by holiness, and involving in it, as a less</w:t>
        <w:br w:type="textWrapping"/>
        <w:t xml:space="preserve">in a greater,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eternal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and so throughout this passage)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17, 18.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dilemma is solved for them</w:t>
        <w:br w:type="textWrapping"/>
        <w:t xml:space="preserve">by reference to the matter of fact: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that</w:t>
        <w:br w:type="textWrapping"/>
        <w:t xml:space="preserve">they were once servants of sin, but on</w:t>
        <w:br w:type="textWrapping"/>
        <w:t xml:space="preserve">receiving the gospel, obeyed its teaching:</w:t>
        <w:br w:type="textWrapping"/>
        <w:t xml:space="preserve">and consequently were freed from the</w:t>
        <w:br w:type="textWrapping"/>
        <w:t xml:space="preserve">service of sin, and became the servants</w:t>
        <w:br w:type="textWrapping"/>
        <w:t xml:space="preserve">of righteousness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this in the form</w:t>
        <w:br w:type="textWrapping"/>
        <w:t xml:space="preserve">of a thanksgiving to God (1 Cor. i. 14),</w:t>
        <w:br w:type="textWrapping"/>
        <w:t xml:space="preserve">whose work in them it was.—There is a</w:t>
        <w:br w:type="textWrapping"/>
        <w:t xml:space="preserve">stress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referring to a state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past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So Eph. v. 8.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obeyed from the heart the form of doctrine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</w:t>
        <w:br w:type="textWrapping"/>
        <w:t xml:space="preserve">expression is most probably used of the practical rule of life accompanying the doctrine of the gospel. De Wette thinks</w:t>
        <w:br w:type="textWrapping"/>
        <w:t xml:space="preserve">it is the Pauline form of teaching, of justification by faith, distinguished from the</w:t>
        <w:br w:type="textWrapping"/>
        <w:t xml:space="preserve">Judaistic)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which ye were delivered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(not, as A. V.,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which was delivered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The inversion to the passive agrees admirably with the figure used.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form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doctrine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regarded as a mould, exemplar, or pattern after which they were to</w:t>
        <w:br w:type="textWrapping"/>
        <w:t xml:space="preserve">be fashioned: and the best commentators</w:t>
        <w:br w:type="textWrapping"/>
        <w:t xml:space="preserve">remark, that they, the disciples taught,</w:t>
        <w:br w:type="textWrapping"/>
        <w:t xml:space="preserve">are regarded as being as it were pressed into</w:t>
        <w:br w:type="textWrapping"/>
        <w:t xml:space="preserve">the mould and conformed to its shape: the</w:t>
        <w:br w:type="textWrapping"/>
        <w:t xml:space="preserve">words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were delivered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implying a superior Power, by whose agency this trans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formation was to be wrought).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verse is closely united with</w:t>
        <w:br w:type="textWrapping"/>
        <w:t xml:space="preserve">the foregoing; Meyer and others think</w:t>
        <w:br w:type="textWrapping"/>
        <w:t xml:space="preserve">that it might be stated as a syllogistic</w:t>
        <w:br w:type="textWrapping"/>
        <w:t xml:space="preserve">conclusion, of which the dilemma is the</w:t>
        <w:br w:type="textWrapping"/>
        <w:t xml:space="preserve">major,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ver. 17 the minor)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made free from sin, ye were made</w:t>
        <w:br w:type="textWrapping"/>
        <w:t xml:space="preserve">servants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the next verse)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For the expression,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made servants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(brought under bondage)</w:t>
        <w:br w:type="textWrapping"/>
        <w:t xml:space="preserve">the Apostle apologizes: ‘it is not literally</w:t>
        <w:br w:type="textWrapping"/>
        <w:t xml:space="preserve">so; the servant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</w:t>
        <w:br w:type="textWrapping"/>
        <w:t xml:space="preserve">slave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under no yoke of bondage; but in </w:t>
        <w:br w:type="textWrapping"/>
        <w:t xml:space="preserve">order to set the contrast between the former and the new state before you, I have</w:t>
        <w:br w:type="textWrapping"/>
        <w:t xml:space="preserve">used this word: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speak after the manner</w:t>
        <w:br w:type="textWrapping"/>
        <w:t xml:space="preserve">of 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(according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requirements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rhetorical antithesis)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on account 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(intellectual, not moral)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weakness of your</w:t>
        <w:br w:type="textWrapping"/>
        <w:t xml:space="preserve">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 ‘because you are carnal and not</w:t>
        <w:br w:type="textWrapping"/>
        <w:t xml:space="preserve">spiritual, and want such figures to set the</w:t>
        <w:br w:type="textWrapping"/>
        <w:t xml:space="preserve">truth before you’):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(explanatory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brought under bondage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yielded</w:t>
        <w:br w:type="textWrapping"/>
        <w:t xml:space="preserve">your members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servants to uncleanness</w:t>
        <w:br w:type="textWrapping"/>
        <w:t xml:space="preserve">and to iniquity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(lawlessness, two divisions of</w:t>
        <w:br w:type="textWrapping"/>
        <w:t xml:space="preserve">sin—impurity, against a man’s self,—lawlessness, against God)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unto iniquity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(lawlessness, both which,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impurity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lawlessness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lead to lawlessness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it),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 yield your members as servants to</w:t>
        <w:br w:type="textWrapping"/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ver. 16)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unto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(leading</w:t>
        <w:br w:type="textWrapping"/>
        <w:t xml:space="preserve">to, having as its result, perfect)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sanctification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—(contrast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lawlessness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both</w:t>
        <w:br w:type="textWrapping"/>
        <w:t xml:space="preserve">embracing their respective consequences).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20—23.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further urging of the</w:t>
        <w:br w:type="textWrapping"/>
        <w:t xml:space="preserve">above exhortations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Apostle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contrasts</w:t>
        <w:br w:type="textWrapping"/>
        <w:t xml:space="preserve">the end of their former life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that of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vdhDHIFRpOtPPrW69JDmUZYS/Q==">CgMxLjA4AHIhMUdwVG5WZXBlYkdQQUxPektWSGNVZTNhTG9ZWFRWaU8y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