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is in fact the sentence immediately preceding. The steps of the proof are these :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law binds a man only so long as he</w:t>
        <w:br w:type="textWrapping"/>
        <w:t xml:space="preserve">lives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(ver. 1): for example,—a married</w:t>
        <w:br w:type="textWrapping"/>
        <w:t xml:space="preserve">woman is only bound to her husband so</w:t>
        <w:br w:type="textWrapping"/>
        <w:t xml:space="preserve">long as he lives (vv. 2, 3):—so also the</w:t>
        <w:br w:type="textWrapping"/>
        <w:t xml:space="preserve">Christian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being dead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with Christ and alive</w:t>
        <w:br w:type="textWrapping"/>
        <w:t xml:space="preserve">to Him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is freed from the law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(ver. 4).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brethren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Not addressed particularly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Jewish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Christians: see below : but</w:t>
        <w:br w:type="textWrapping"/>
        <w:t xml:space="preserve">generally to the Roman Church.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am speaking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(writing)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to men acquainted with</w:t>
        <w:br w:type="textWrapping"/>
        <w:t xml:space="preserve">the law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i.e. the persons to whom I address</w:t>
        <w:br w:type="textWrapping"/>
        <w:t xml:space="preserve">this epistle are such as know the law: not,</w:t>
        <w:br w:type="textWrapping"/>
        <w:t xml:space="preserve">as the A. V. unfortunately, ‘I speak to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them</w:t>
        <w:br w:type="textWrapping"/>
        <w:t xml:space="preserve">that know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law,’ as if he were now addressing a different class of persons. Nor</w:t>
        <w:br w:type="textWrapping"/>
        <w:t xml:space="preserve">does the knowledge of the law, here affirmed</w:t>
        <w:br w:type="textWrapping"/>
        <w:t xml:space="preserve">of the Romans, prove that the majority of</w:t>
        <w:br w:type="textWrapping"/>
        <w:t xml:space="preserve">them were Jewish Christians: they may</w:t>
        <w:br w:type="textWrapping"/>
        <w:t xml:space="preserve">have been Gentile proselytes.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(Mosaic : for of that, and not of any other</w:t>
        <w:br w:type="textWrapping"/>
        <w:t xml:space="preserve">law, is the whole argument)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law hath</w:t>
        <w:br w:type="textWrapping"/>
        <w:t xml:space="preserve">power over a man for so long time as 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man, see verses 4 and 6: not ‘‘it,”</w:t>
        <w:br w:type="textWrapping"/>
        <w:t xml:space="preserve">i.e.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law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some would render it,</w:t>
        <w:br w:type="textWrapping"/>
        <w:t xml:space="preserve">which would introduce the irrelevant question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abrogation of the law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whereas</w:t>
        <w:br w:type="textWrapping"/>
        <w:t xml:space="preserve">the whole matter in argument is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relation of the Christian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the law)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liveth ?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 merely an example, but</w:t>
        <w:br w:type="textWrapping"/>
        <w:t xml:space="preserve">the example is itself the proof)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woman</w:t>
        <w:br w:type="textWrapping"/>
        <w:t xml:space="preserve">which hath an husband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(literally, the</w:t>
        <w:br w:type="textWrapping"/>
        <w:t xml:space="preserve">woman under a husband, in subjection to</w:t>
        <w:br w:type="textWrapping"/>
        <w:t xml:space="preserve">a husband)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is bound by the law to her</w:t>
        <w:br w:type="textWrapping"/>
        <w:t xml:space="preserve">husband while he liveth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(literally,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to her</w:t>
        <w:br w:type="textWrapping"/>
        <w:t xml:space="preserve">living husband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):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but if her husband die,</w:t>
        <w:br w:type="textWrapping"/>
        <w:t xml:space="preserve">she is loosed 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(literally, annulled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law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(‘regarding,’ compare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law of the leper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Levit. xiv. 2)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</w:t>
        <w:br w:type="textWrapping"/>
        <w:t xml:space="preserve">husband.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the</w:t>
        <w:br w:type="textWrapping"/>
        <w:t xml:space="preserve">same consideration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 follows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while</w:t>
        <w:br w:type="textWrapping"/>
        <w:t xml:space="preserve">her husband lives, she shall be called an</w:t>
        <w:br w:type="textWrapping"/>
        <w:t xml:space="preserve">adulteress, if she be joined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attach</w:t>
        <w:br w:type="textWrapping"/>
        <w:t xml:space="preserve">herself to, become the wife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another</w:t>
        <w:br w:type="textWrapping"/>
        <w:t xml:space="preserve">man: but if her husband die, she is free</w:t>
        <w:br w:type="textWrapping"/>
        <w:t xml:space="preserve">from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her husband),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 that</w:t>
        <w:br w:type="textWrapping"/>
        <w:t xml:space="preserve">she is not an adulteress, though she</w:t>
        <w:br w:type="textWrapping"/>
        <w:t xml:space="preserve">be joined to another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.—So far all is</w:t>
        <w:br w:type="textWrapping"/>
        <w:t xml:space="preserve">clear. But when we come to the application of the example,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carefully</w:t>
        <w:br w:type="textWrapping"/>
        <w:t xml:space="preserve">be borne in mind, as tending to clear up</w:t>
        <w:br w:type="textWrapping"/>
        <w:t xml:space="preserve">all the confusion which has here been</w:t>
        <w:br w:type="textWrapping"/>
        <w:t xml:space="preserve">found by Commentators 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 Apostle is insisting on the fact, that DEATH</w:t>
        <w:br w:type="textWrapping"/>
        <w:t xml:space="preserve">DISSOLVES LEGAL OBLIGATION : but he is</w:t>
        <w:br w:type="textWrapping"/>
        <w:t xml:space="preserve">not drawing an exact parallel between the</w:t>
        <w:br w:type="textWrapping"/>
        <w:t xml:space="preserve">persons in his example, and the persons in</w:t>
        <w:br w:type="textWrapping"/>
        <w:t xml:space="preserve">his application. The comparison might</w:t>
        <w:br w:type="textWrapping"/>
        <w:t xml:space="preserve">be thus made in terms common to both:</w:t>
        <w:br w:type="textWrapping"/>
        <w:t xml:space="preserve">(1)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 has dissolved the legal obligation between man and wife: therefore</w:t>
        <w:br w:type="textWrapping"/>
        <w:t xml:space="preserve">the wife is at liberty to be married to</w:t>
        <w:br w:type="textWrapping"/>
        <w:t xml:space="preserve">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(2)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 has dissolved the</w:t>
        <w:br w:type="textWrapping"/>
        <w:t xml:space="preserve">legal obligation between the law and us:</w:t>
        <w:br w:type="textWrapping"/>
        <w:t xml:space="preserve">therefore we are at liberty to be married</w:t>
        <w:br w:type="textWrapping"/>
        <w:t xml:space="preserve">to 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 far the comparison is</w:t>
        <w:br w:type="textWrapping"/>
        <w:t xml:space="preserve">strict. Further, it will not hold: for in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liberated person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survivor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thing treated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liberated person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dead person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so</w:t>
        <w:br w:type="textWrapping"/>
        <w:t xml:space="preserve">far from this being an oversight or an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inaccuracy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is no more than that to</w:t>
        <w:br w:type="textWrapping"/>
        <w:t xml:space="preserve">which, more or less, all comparisons are</w:t>
        <w:br w:type="textWrapping"/>
        <w:t xml:space="preserve">liable; and no more can be required of</w:t>
        <w:br w:type="textWrapping"/>
        <w:t xml:space="preserve">them than that they should fit, in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UouRs6/hbiohVfNv7JnyD3wt8Q==">CgMxLjA4AHIhMW9QNE01M3FtdU84LTV0TlhMbGJ3Mm94eENWblR5ZUIy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