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approval of the law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affirmed (not</w:t>
        <w:br w:type="textWrapping"/>
        <w:t xml:space="preserve">the mere designing to do His will, verses 15,</w:t>
        <w:br w:type="textWrapping"/>
        <w:t xml:space="preserve">16, 19, 20, which I will treat by and by),</w:t>
        <w:br w:type="textWrapping"/>
        <w:t xml:space="preserve">it is not barely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but, to avoid confusion, in ver. 22 the Apostle adds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after</w:t>
        <w:br w:type="textWrapping"/>
        <w:t xml:space="preserve">the inward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in ver. 25 subjoins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in both cases shewing that (see</w:t>
        <w:br w:type="textWrapping"/>
        <w:t xml:space="preserve">notes below) he speaks of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complex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himself made up of 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inward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outward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man,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mind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Are we then justified in assuming, that up</w:t>
        <w:br w:type="textWrapping"/>
        <w:t xml:space="preserve">to ver. 22 the carnal-unregenerate self is</w:t>
        <w:br w:type="textWrapping"/>
        <w:t xml:space="preserve">spoken of, but after that the complex self?</w:t>
        <w:br w:type="textWrapping"/>
        <w:t xml:space="preserve">Such a supposition would not be consistent</w:t>
        <w:br w:type="textWrapping"/>
        <w:t xml:space="preserve">with the assertion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desire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from ver.</w:t>
        <w:br w:type="textWrapping"/>
        <w:t xml:space="preserve">15 onwards: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 such will existing in the</w:t>
        <w:br w:type="textWrapping"/>
        <w:t xml:space="preserve">carnal unregenerate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 believe the</w:t>
        <w:br w:type="textWrapping"/>
        <w:t xml:space="preserve">true account will be nearly as follows:—from ver. 7–13 incl.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historical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historical 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under the</w:t>
        <w:br w:type="textWrapping"/>
        <w:t xml:space="preserve">working of conviction of sin, and shewing</w:t>
        <w:br w:type="textWrapping"/>
        <w:t xml:space="preserve">the work of the law; in other words,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the</w:t>
        <w:br w:type="textWrapping"/>
        <w:t xml:space="preserve">carnal self in the transition state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under</w:t>
        <w:br w:type="textWrapping"/>
        <w:t xml:space="preserve">the first motions towards God generated</w:t>
        <w:br w:type="textWrapping"/>
        <w:t xml:space="preserve">by the law, which the law could never have</w:t>
        <w:br w:type="textWrapping"/>
        <w:t xml:space="preserve">perfected. Then at ver. 14, St. Paul, according to a habit very common to him,</w:t>
        <w:br w:type="textWrapping"/>
        <w:t xml:space="preserve">Keeps hold of the carnal self, and still</w:t>
        <w:br w:type="textWrapping"/>
        <w:t xml:space="preserve">having it in view,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transfers himself into his</w:t>
        <w:br w:type="textWrapping"/>
        <w:t xml:space="preserve">present position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,—altering the past tense</w:t>
        <w:br w:type="textWrapping"/>
        <w:t xml:space="preserve">into the present, still however meaning</w:t>
        <w:br w:type="textWrapping"/>
        <w:t xml:space="preserve">by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(in ver. 14),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my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 But,</w:t>
        <w:br w:type="textWrapping"/>
        <w:t xml:space="preserve">having passed into the present tense, he</w:t>
        <w:br w:type="textWrapping"/>
        <w:t xml:space="preserve">immediately mingles with this mere action</w:t>
        <w:br w:type="textWrapping"/>
        <w:t xml:space="preserve">of the law upon the natural conscience, the</w:t>
        <w:br w:type="textWrapping"/>
        <w:t xml:space="preserve">motions of the will towards God which are</w:t>
        <w:br w:type="textWrapping"/>
        <w:t xml:space="preserve">in conflict with the motions toward sin in</w:t>
        <w:br w:type="textWrapping"/>
        <w:t xml:space="preserve">the members. And hence arises an apparent verbal confusion, because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for example, in Ver. 17, of whom it is said,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 is no longer I that perform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being the</w:t>
        <w:br w:type="textWrapping"/>
        <w:t xml:space="preserve">entire personality,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complex 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of</w:t>
        <w:br w:type="textWrapping"/>
        <w:t xml:space="preserve">far wider extent than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of whom it</w:t>
        <w:br w:type="textWrapping"/>
        <w:t xml:space="preserve">is said,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me, that is, in my flesh, dwelleth</w:t>
        <w:br w:type="textWrapping"/>
        <w:t xml:space="preserve">not any good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But the latter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in this part of the chapter, is shewn to be (verses 17, 20) no longer properly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but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 that dwelleth in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,’—and so it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passes altogether out of sight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after ver.</w:t>
        <w:br w:type="textWrapping"/>
        <w:t xml:space="preserve">20,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its place is taken by the actual</w:t>
        <w:br w:type="textWrapping"/>
        <w:t xml:space="preserve">then existing complex 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Paul compounded of the regenerate spiritual man,</w:t>
        <w:br w:type="textWrapping"/>
        <w:t xml:space="preserve">sympathizing with God’s law, serving God’s</w:t>
        <w:br w:type="textWrapping"/>
        <w:t xml:space="preserve">law, in conflict with the still remaining</w:t>
        <w:br w:type="textWrapping"/>
        <w:t xml:space="preserve">though decadent carnal man, whose essence</w:t>
        <w:br w:type="textWrapping"/>
        <w:t xml:space="preserve">it is to serve the law of sin, to bring captive to the law of sin. This state of con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flict and division against one’s self would</w:t>
        <w:br w:type="textWrapping"/>
        <w:t xml:space="preserve">infallibly bring about utter ruin, and might.</w:t>
        <w:br w:type="textWrapping"/>
        <w:t xml:space="preserve">well lead to despair (ver. 24), but for the</w:t>
        <w:br w:type="textWrapping"/>
        <w:t xml:space="preserve">rescue which God’s grace has provided by</w:t>
        <w:br w:type="textWrapping"/>
        <w:t xml:space="preserve">Jesus Christ our Lord. And this rescue</w:t>
        <w:br w:type="textWrapping"/>
        <w:t xml:space="preserve">has been such, that I,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myself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</w:t>
        <w:br w:type="textWrapping"/>
        <w:t xml:space="preserve">ver. 25,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 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nobler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better</w:t>
        <w:br w:type="textWrapping"/>
        <w:t xml:space="preserve">part of the man, serve,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</w:t>
        <w:br w:type="textWrapping"/>
        <w:t xml:space="preserve">there), the law of God: whereas it is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</w:t>
        <w:br w:type="textWrapping"/>
        <w:t xml:space="preserve">with the flesh, according to which (vii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 4)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do not walk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overcome and mortify</w:t>
        <w:br w:type="textWrapping"/>
        <w:t xml:space="preserve">it, that I serve (am still subject to) the law</w:t>
        <w:br w:type="textWrapping"/>
        <w:t xml:space="preserve">of sin. Then this subjection of the flesh to</w:t>
        <w:br w:type="textWrapping"/>
        <w:t xml:space="preserve">the law of sin,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bondage of corruption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fully set out, in 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consequences to the carnal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uses to the</w:t>
        <w:br w:type="textWrapping"/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viii.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 thing like a</w:t>
        <w:br w:type="textWrapping"/>
        <w:t xml:space="preserve">summary of the exposition of this passage</w:t>
        <w:br w:type="textWrapping"/>
        <w:t xml:space="preserve">would be quite beyond my limits. It may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to say, that most of the ancients</w:t>
        <w:br w:type="textWrapping"/>
        <w:t xml:space="preserve">supposed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throughout the passage to</w:t>
        <w:br w:type="textWrapping"/>
        <w:t xml:space="preserve">represent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Jews 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the whole to be taken chronologically,</w:t>
        <w:br w:type="textWrapping"/>
        <w:t xml:space="preserve">to ver. 9,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law, after ver. 9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law. This was once Augustine’s</w:t>
        <w:br w:type="textWrapping"/>
        <w:t xml:space="preserve">view, but he afterwards changed it, and</w:t>
        <w:br w:type="textWrapping"/>
        <w:t xml:space="preserve">adopted in the main that advocated above.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note, ch. vi.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but in our case, the</w:t>
        <w:br w:type="textWrapping"/>
        <w:t xml:space="preserve">revealed law of God, which awoke the conscience to action)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cause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which in one sense the Apostle would</w:t>
        <w:br w:type="textWrapping"/>
        <w:t xml:space="preserve">not have denied,—but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abstract for</w:t>
        <w:br w:type="textWrapping"/>
        <w:t xml:space="preserve">concrete,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or, as Bengel expresses</w:t>
        <w:br w:type="textWrapping"/>
        <w:t xml:space="preserve">it,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sinful cause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question</w:t>
        <w:br w:type="textWrapping"/>
        <w:t xml:space="preserve">itself refers back to ver. 5, where the</w:t>
        <w:br w:type="textWrapping"/>
        <w:t xml:space="preserve">Apostle had spoken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stirrings of sins</w:t>
        <w:br w:type="textWrapping"/>
        <w:t xml:space="preserve">which were through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It is asked,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by an objector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by the Apostle</w:t>
        <w:br w:type="textWrapping"/>
        <w:t xml:space="preserve">himself, in anticipation of an objection.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Nevertheless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what I mean</w:t>
        <w:br w:type="textWrapping"/>
        <w:t xml:space="preserve">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....,–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say not that,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had not 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literal rendering of</w:t>
        <w:br w:type="textWrapping"/>
        <w:t xml:space="preserve">the original sentence 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was living in a</w:t>
        <w:br w:type="textWrapping"/>
        <w:t xml:space="preserve">state of ignorance of sin, were it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....</w:t>
        <w:br w:type="textWrapping"/>
        <w:t xml:space="preserve">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spoken of? Is</w:t>
        <w:br w:type="textWrapping"/>
        <w:t xml:space="preserve">it sin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sin 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principle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,—the</w:t>
        <w:br w:type="textWrapping"/>
        <w:t xml:space="preserve">principle of sin? 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sin in 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not known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 mean,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had</w:t>
        <w:br w:type="textWrapping"/>
        <w:t xml:space="preserve">not entered into contact with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i.e.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not sinned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then the law would</w:t>
        <w:br w:type="textWrapping"/>
        <w:t xml:space="preserve">have truly and actually been the cause of</w:t>
        <w:br w:type="textWrapping"/>
        <w:t xml:space="preserve">sin: nor,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 in 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that the meaning</w:t>
        <w:br w:type="textWrapping"/>
        <w:t xml:space="preserve">were,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had not known the nature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sinful act?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this would not agree with</w:t>
        <w:br w:type="textWrapping"/>
        <w:t xml:space="preserve">the subordination of the one particular sin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specified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 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coveting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ZHurNjSDRvEwAWwrCZKYcciiJQ==">CgMxLjA4AHIhMXdyUm9YV09pdUtJbUN3eE9MdmZxVENTZHlkdFdjaVdk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