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righteousness which is of faith in</w:t>
        <w:br w:type="textWrapping"/>
        <w:t xml:space="preserve">Christ,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 it described already</w:t>
        <w:br w:type="textWrapping"/>
        <w:t xml:space="preserve">in the words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righteousness which is of faith speaketh on</w:t>
        <w:br w:type="textWrapping"/>
        <w:t xml:space="preserve">this 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(personified, as Wisdom in the</w:t>
        <w:br w:type="textWrapping"/>
        <w:t xml:space="preserve">Proverbs),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not in thine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think</w:t>
        <w:br w:type="textWrapping"/>
        <w:t xml:space="preserve">not, a Hebrew idiom. The original</w:t>
        <w:br w:type="textWrapping"/>
        <w:t xml:space="preserve">in Deuteronomy has merely,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thou</w:t>
        <w:br w:type="textWrapping"/>
        <w:t xml:space="preserve">shouldest’ say.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Apostle cites freely,</w:t>
        <w:br w:type="textWrapping"/>
        <w:t xml:space="preserve">giving the explanation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shall ascend into heaven?</w:t>
        <w:br w:type="textWrapping"/>
        <w:t xml:space="preserve">that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 above ;—that imports in</w:t>
        <w:br w:type="textWrapping"/>
        <w:t xml:space="preserve">its full and unfolded meaning),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bring</w:t>
        <w:br w:type="textWrapping"/>
        <w:t xml:space="preserve">down Christ :—or,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 descend into</w:t>
        <w:br w:type="textWrapping"/>
        <w:t xml:space="preserve">the deep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abyss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)?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—that is, to bring</w:t>
        <w:br w:type="textWrapping"/>
        <w:t xml:space="preserve">up Christ from the dead.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—There is some</w:t>
        <w:br w:type="textWrapping"/>
        <w:t xml:space="preserve">difficulty in assigning the precise view</w:t>
        <w:br w:type="textWrapping"/>
        <w:t xml:space="preserve">with which the Apostle introduces these</w:t>
        <w:br w:type="textWrapping"/>
        <w:t xml:space="preserve">questions. Tholuck remarks, “The different interpretations may be reduced to</w:t>
        <w:br w:type="textWrapping"/>
        <w:t xml:space="preserve">this, that the questions are regarded either</w:t>
        <w:br w:type="textWrapping"/>
        <w:t xml:space="preserve">(1) as questions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(2) as questions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embarrassment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(3) as questions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anxiety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first view is represented</w:t>
        <w:br w:type="textWrapping"/>
        <w:t xml:space="preserve">by De Wette, who says, “In what sense</w:t>
        <w:br w:type="textWrapping"/>
        <w:t xml:space="preserve">these questions, from which the righteousness which is of faith dissuades men, are</w:t>
        <w:br w:type="textWrapping"/>
        <w:t xml:space="preserve">to be taken, is plain from ver. 9, where</w:t>
        <w:br w:type="textWrapping"/>
        <w:t xml:space="preserve">the Resurrection of Christ is asserted as</w:t>
        <w:br w:type="textWrapping"/>
        <w:t xml:space="preserve">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most weighty point of historical</w:t>
        <w:br w:type="textWrapping"/>
        <w:t xml:space="preserve">Christian belief :—they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unbelief, which regards this fact as not</w:t>
        <w:br w:type="textWrapping"/>
        <w:t xml:space="preserve">accomplished, or as now first to be accomplished. Thus, also, probably, are we to</w:t>
        <w:br w:type="textWrapping"/>
        <w:t xml:space="preserve">understand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applying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Incarnation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is</w:t>
        <w:br w:type="textWrapping"/>
        <w:t xml:space="preserve">more or less also the view of many other</w:t>
        <w:br w:type="textWrapping"/>
        <w:t xml:space="preserve">Commentators. (2) The second view, that</w:t>
        <w:br w:type="textWrapping"/>
        <w:t xml:space="preserve">they are questions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embarrassment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taken by Stuart, who says, “The whole (of.</w:t>
        <w:br w:type="textWrapping"/>
        <w:t xml:space="preserve">Moses’s saying) may be summed up in one</w:t>
        <w:br w:type="textWrapping"/>
        <w:t xml:space="preserve">word, omitting all figurative expression:</w:t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commandment is plain and accessible.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 can have, therefore, no</w:t>
        <w:br w:type="textWrapping"/>
        <w:t xml:space="preserve">excuse for neglecting it. So in the case</w:t>
        <w:br w:type="textWrapping"/>
        <w:t xml:space="preserve">before us.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 by faith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 plain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intelligible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doctrine. It is</w:t>
        <w:br w:type="textWrapping"/>
        <w:t xml:space="preserve">not shut up in mysterious language....</w:t>
        <w:br w:type="textWrapping"/>
        <w:t xml:space="preserve">It is like what Moses says of the statutes</w:t>
        <w:br w:type="textWrapping"/>
        <w:t xml:space="preserve">which he gave to Israel, plain, intelligible,</w:t>
        <w:br w:type="textWrapping"/>
        <w:t xml:space="preserve">accessible . . . . It is brought before the</w:t>
        <w:br w:type="textWrapping"/>
        <w:t xml:space="preserve">mind and heart of every man: and thus</w:t>
        <w:br w:type="textWrapping"/>
        <w:t xml:space="preserve">he is without excuse for unbelief.” (3)</w:t>
        <w:br w:type="textWrapping"/>
        <w:t xml:space="preserve">The third view, that they are questions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anxiety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that of Calvin, Tholuck, and</w:t>
        <w:br w:type="textWrapping"/>
        <w:t xml:space="preserve">others: by none perhaps better expressed</w:t>
        <w:br w:type="textWrapping"/>
        <w:t xml:space="preserve">than by Ewbank, Comm. on the Ep. to</w:t>
        <w:br w:type="textWrapping"/>
        <w:t xml:space="preserve">the Rom. p. 74: “Personifying the great</w:t>
        <w:br w:type="textWrapping"/>
        <w:t xml:space="preserve">Christian doctrine of free justification</w:t>
        <w:br w:type="textWrapping"/>
        <w:t xml:space="preserve">through faith, he represents it as addressing</w:t>
        <w:br w:type="textWrapping"/>
        <w:t xml:space="preserve">every man who is anxious to obtain salvation, in the encouraging words of Moses:</w:t>
        <w:br w:type="textWrapping"/>
        <w:t xml:space="preserve">‘Say not in thine heart, (it says to such an</w:t>
        <w:br w:type="textWrapping"/>
        <w:t xml:space="preserve">one,)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other words, ‘Let not</w:t>
        <w:br w:type="textWrapping"/>
        <w:t xml:space="preserve">the man, who sighs for deliverance from</w:t>
        <w:br w:type="textWrapping"/>
        <w:t xml:space="preserve">his own sinfulness,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accomplishment of some impossible task is re-</w:t>
        <w:br w:type="textWrapping"/>
        <w:t xml:space="preserve">quired of him, in order to enjoy the blessings of the Gospel. Let him not think</w:t>
        <w:br w:type="textWrapping"/>
        <w:t xml:space="preserve">that the personal presence of the Messiah</w:t>
        <w:br w:type="textWrapping"/>
        <w:t xml:space="preserve">is necessary to ensure his salvation. Christ</w:t>
        <w:br w:type="textWrapping"/>
        <w:t xml:space="preserve">needs not to be brought down from heaven,</w:t>
        <w:br w:type="textWrapping"/>
        <w:t xml:space="preserve">or up from the abyss, to impart to him forgiveness and holiness. No. Our Christian message contains no impossibilities.</w:t>
        <w:br w:type="textWrapping"/>
        <w:t xml:space="preserve">We do not mock the sinner by offering him</w:t>
        <w:br w:type="textWrapping"/>
        <w:t xml:space="preserve">happiness on conditions which we know</w:t>
        <w:br w:type="textWrapping"/>
        <w:t xml:space="preserve">that he is powerless to fulfil. We tell him</w:t>
        <w:br w:type="textWrapping"/>
        <w:t xml:space="preserve">that Christ’s word is near to him: so near,</w:t>
        <w:br w:type="textWrapping"/>
        <w:t xml:space="preserve">that he may speak of it with his mouth,</w:t>
        <w:br w:type="textWrapping"/>
        <w:t xml:space="preserve">and meditate on it with his heart... .</w:t>
        <w:br w:type="textWrapping"/>
        <w:t xml:space="preserve">Is there any thing above human power in</w:t>
        <w:br w:type="textWrapping"/>
        <w:t xml:space="preserve">such a confession, and in such a belief?</w:t>
        <w:br w:type="textWrapping"/>
        <w:t xml:space="preserve">Surely not. It is graciously adapted to the</w:t>
        <w:br w:type="textWrapping"/>
        <w:t xml:space="preserve">necessity of the very weakest and most</w:t>
        <w:br w:type="textWrapping"/>
        <w:t xml:space="preserve">sinful of God’s creatures.” I will now</w:t>
        <w:br w:type="textWrapping"/>
        <w:t xml:space="preserve">take up the three views afresh and state</w:t>
        <w:br w:type="textWrapping"/>
        <w:t xml:space="preserve">the objections. (1) The objection to this</w:t>
        <w:br w:type="textWrapping"/>
        <w:t xml:space="preserve">view, as alleged by Tholuck, is, that in it</w:t>
        <w:br w:type="textWrapping"/>
        <w:t xml:space="preserve">the contrast with ver. 5 is lost sight of.</w:t>
        <w:br w:type="textWrapping"/>
        <w:t xml:space="preserve">And this is so far just, that it must be</w:t>
        <w:br w:type="textWrapping"/>
        <w:t xml:space="preserve">confessed we thus lose the ideas which the</w:t>
        <w:br w:type="textWrapping"/>
        <w:t xml:space="preserve">Apostle evidently intended us to grasp,</w:t>
        <w:br w:type="textWrapping"/>
        <w:t xml:space="preserve">those of insuperable difficulty in the acquisition of righteousness by the law</w:t>
        <w:br w:type="textWrapping"/>
        <w:t xml:space="preserve">and of facility,—by the gospel. Also,—it puts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 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allegation of the</w:t>
        <w:br w:type="textWrapping"/>
        <w:t xml:space="preserve">great matters of historical belief, which are</w:t>
        <w:br w:type="textWrapping"/>
        <w:t xml:space="preserve">not Here the central point of the argument,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introduced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objects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faith, itself that central 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apprehends. (2) The</w:t>
        <w:br w:type="textWrapping"/>
        <w:t xml:space="preserve">last objection has some force as against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4:58:0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t37TA7qg1/iFD6CorfOliNMatA==">CgMxLjAaJwoBMBIiCiAIBCocCgtBQUFCQXFxZ3l6MBAIGgtBQUFCQXFxZ3l6MCLYAQoLQUFBQkFxcWd5ejASqAEKC0FBQUJBcXFneXowEgtBQUFCQXFxZ3l6MBoSCgl0ZXh0L2h0bWwSBXRhZyA3IhMKCnRleHQvcGxhaW4SBXRhZyA3KhsiFTExMjQ5ODU3ODA4NjQ5MzgzMjQxMCgAOAAw3qD1m70xON6g9Zu9MUoRCgp0ZXh0L3BsYWluEgNXaG9aDGhjdzZicTR0bjExaHICIAB4AJoBBggAEAAYAKoBBxIFdGFnIDcY3qD1m70xIN6g9Zu9MUIQa2l4LnJ3aDE0N2wzZXhzZzgAciExRTNZTE9OX0c0ZUI0VnNKcVhBcWJjcFhqcEYyaVZBW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