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a heave-offering to the Lord, and so</w:t>
        <w:br w:type="textWrapping"/>
        <w:t xml:space="preserve">sanctified for use the rest: see the reference </w:t>
        <w:br w:type="textWrapping"/>
        <w:t xml:space="preserve">where the same words occur):—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if the root be holy, so also are the</w:t>
        <w:br w:type="textWrapping"/>
        <w:t xml:space="preserve">branches.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are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firstfruit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root?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First of all, there is no impropriety </w:t>
        <w:br w:type="textWrapping"/>
        <w:t xml:space="preserve">in the two words applying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same 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For though, the branches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evolved from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rather</w:t>
        <w:br w:type="textWrapping"/>
        <w:t xml:space="preserve">answers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and though the firstfruit succeeds</w:t>
        <w:br w:type="textWrapping"/>
        <w:t xml:space="preserve">the lump in time, while the root precedes</w:t>
        <w:br w:type="textWrapping"/>
        <w:t xml:space="preserve">the branches,—yet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holiness is the</w:t>
        <w:br w:type="textWrapping"/>
        <w:t xml:space="preserve">point of comparison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precedes and gives existence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being so, (1)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firstfruit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have generally been taken</w:t>
        <w:br w:type="textWrapping"/>
        <w:t xml:space="preserve">to represent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patriarchs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I believe </w:t>
        <w:br w:type="textWrapping"/>
        <w:t xml:space="preserve">rightly (except that perhaps it would</w:t>
        <w:br w:type="textWrapping"/>
        <w:t xml:space="preserve">be more strict correct to say,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Abraham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 The words,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beloved for the</w:t>
        <w:br w:type="textWrapping"/>
        <w:t xml:space="preserve">fathers’ sake,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28, place this reference </w:t>
        <w:br w:type="textWrapping"/>
        <w:t xml:space="preserve">almost beyond doubt. Origen explains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</w:t>
        <w:br w:type="textWrapping"/>
        <w:t xml:space="preserve">He is Himself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branch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descent from</w:t>
        <w:br w:type="textWrapping"/>
        <w:t xml:space="preserve">Abraham and David (Isa. xi. 1; Matt. i. 1),</w:t>
        <w:br w:type="textWrapping"/>
        <w:t xml:space="preserve">if genealogically considered ; and if mystically,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 tree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(John xv. 1). De</w:t>
        <w:br w:type="textWrapping"/>
        <w:t xml:space="preserve">Wette prefers to take as the firstfruit and</w:t>
        <w:br w:type="textWrapping"/>
        <w:t xml:space="preserve">root,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ideal theocracy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founded on the</w:t>
        <w:br w:type="textWrapping"/>
        <w:t xml:space="preserve">patriarchs,—the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true, faithful children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the patriarchs, and as the branches, those</w:t>
        <w:br w:type="textWrapping"/>
        <w:t xml:space="preserve">united by mere external relationship to</w:t>
        <w:br w:type="textWrapping"/>
        <w:t xml:space="preserve">these others. This he does, because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common acceptation,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 are</w:t>
        <w:br w:type="textWrapping"/>
        <w:t xml:space="preserve">cut off ought to be severed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their physical </w:t>
        <w:br w:type="textWrapping"/>
        <w:t xml:space="preserve">connexion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Abraham, &amp;c., which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objection I do not conceive </w:t>
        <w:br w:type="textWrapping"/>
        <w:t xml:space="preserve">applicable here: because, as we see</w:t>
        <w:br w:type="textWrapping"/>
        <w:t xml:space="preserve">evidently from ver. 23, the severing and</w:t>
        <w:br w:type="textWrapping"/>
        <w:t xml:space="preserve">re-engrafting are types, not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genealogical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disunion and reunion, but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Meanwhile, this view appears less simple</w:t>
        <w:br w:type="textWrapping"/>
        <w:t xml:space="preserve">than the ordinary one, which, as I hope to</w:t>
        <w:br w:type="textWrapping"/>
        <w:t xml:space="preserve">shew, is borne out by the whole passage.</w:t>
        <w:br w:type="textWrapping"/>
        <w:t xml:space="preserve">(2) Then,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are indicated by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lump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branches?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ISRAEL, considered</w:t>
        <w:br w:type="textWrapping"/>
        <w:t xml:space="preserve">as the people of God. The lump, which</w:t>
        <w:br w:type="textWrapping"/>
        <w:t xml:space="preserve">has received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is Israel, beloved for the father’</w:t>
        <w:br w:type="textWrapping"/>
        <w:t xml:space="preserve">sakes: the assemblage of branches, evolved</w:t>
        <w:br w:type="textWrapping"/>
        <w:t xml:space="preserve">from Abraham, and partaking of his holiness. </w:t>
        <w:br w:type="textWrapping"/>
        <w:t xml:space="preserve">But one thing must be especially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borne in mind. As Abraham himself had</w:t>
        <w:br w:type="textWrapping"/>
        <w:t xml:space="preserve">an outer and an inner life, so have the</w:t>
        <w:br w:type="textWrapping"/>
        <w:t xml:space="preserve">branches. They have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outer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derived </w:t>
        <w:br w:type="textWrapping"/>
        <w:t xml:space="preserve">from Abraham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 descent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Of this,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cutting off can deprive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may be compared to the very organization</w:t>
        <w:br w:type="textWrapping"/>
        <w:t xml:space="preserve">of the wood itself, which subsists even after</w:t>
        <w:br w:type="textWrapping"/>
        <w:t xml:space="preserve">its separation from the tree. But they</w:t>
        <w:br w:type="textWrapping"/>
        <w:t xml:space="preserve">have, while they remain in the tree,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</w:t>
        <w:br w:type="textWrapping"/>
        <w:t xml:space="preserve">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nourished by the circulating sap, by</w:t>
        <w:br w:type="textWrapping"/>
        <w:t xml:space="preserve">virtue of which they are constituted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  <w:br w:type="textWrapping"/>
        <w:t xml:space="preserve">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tree: see our Lord’s parable</w:t>
        <w:br w:type="textWrapping"/>
        <w:t xml:space="preserve">of the vine and the branches, John xv. 1 ff.</w:t>
        <w:br w:type="textWrapping"/>
        <w:t xml:space="preserve">It is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their severance from</w:t>
        <w:br w:type="textWrapping"/>
        <w:t xml:space="preserve">the tree deprives them :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they will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re-acquire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grafted in again.—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here spoken of, consists</w:t>
        <w:br w:type="textWrapping"/>
        <w:t xml:space="preserve">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dedication to God as a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in their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physically evolved from a</w:t>
        <w:br w:type="textWrapping"/>
        <w:t xml:space="preserve">holy root.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peculiar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1 Cor. vii. 14, where the children of one</w:t>
        <w:br w:type="textWrapping"/>
        <w:t xml:space="preserve">Christian parent are similarly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renders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restoration to their own</w:t>
        <w:br w:type="textWrapping"/>
        <w:t xml:space="preserve">stock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matter, not of wonder and difficulty, </w:t>
        <w:br w:type="textWrapping"/>
        <w:t xml:space="preserve">but of reasonable hope and probability.—I </w:t>
        <w:br w:type="textWrapping"/>
        <w:t xml:space="preserve">notice in passing, that</w:t>
        <w:br w:type="textWrapping"/>
        <w:t xml:space="preserve">those expositors who do not hold a restoration </w:t>
        <w:br w:type="textWrapping"/>
        <w:t xml:space="preserve">of the Jewish people to 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preeminence, </w:t>
        <w:br w:type="textWrapping"/>
        <w:t xml:space="preserve">find this passage exceedingly in</w:t>
        <w:br w:type="textWrapping"/>
        <w:t xml:space="preserve">their way, if we may judge by their explanations </w:t>
        <w:br w:type="textWrapping"/>
        <w:t xml:space="preserve">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E.g. Mr. Ewbank</w:t>
        <w:br w:type="textWrapping"/>
        <w:t xml:space="preserve">remarks: ‘Holy they are, inasmuch as there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decree against their restoration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</w:t>
        <w:br w:type="textWrapping"/>
        <w:t xml:space="preserve">place of life and fruitfulness.’ Surely this</w:t>
        <w:br w:type="textWrapping"/>
        <w:t xml:space="preserve">isa new meaning of ‘holy :’ the same would</w:t>
        <w:br w:type="textWrapping"/>
        <w:t xml:space="preserve">be true of a Hottentot: in his case, too,</w:t>
        <w:br w:type="textWrapping"/>
        <w:t xml:space="preserve">there is no decree against his reception into</w:t>
        <w:br w:type="textWrapping"/>
        <w:t xml:space="preserve">a place (and in Mr. E.’s view, the restoration </w:t>
        <w:br w:type="textWrapping"/>
        <w:t xml:space="preserve">of the Jew is nothing more) of life and</w:t>
        <w:br w:type="textWrapping"/>
        <w:t xml:space="preserve">fruitfulness in the Church of God.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(introduces a hypothesis involving</w:t>
        <w:br w:type="textWrapping"/>
        <w:t xml:space="preserve">a seeming inconsistency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just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some of the branches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depreciates the number, in order</w:t>
        <w:br w:type="textWrapping"/>
        <w:t xml:space="preserve">to check the Gentile pride)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broken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(so literally: broken off from the tree),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Gentile believer)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being a wild olive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a sprout or branch of a wild olive),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wast grafted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an apparent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here: that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natural process in grafting. It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practice, which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stock,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graft inserted is a sprout of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+I+v+4UORXM7cpLMJV08VXL+A==">CgMxLjA4AHIhMTd0UE9UUURfbEVSTHRnZk50Y2hJRHBHa2tUU3YtLW1t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