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 says, “When He says that Elias shall</w:t>
        <w:br w:type="textWrapping"/>
        <w:t xml:space="preserve">come and restore all things, He speaks of</w:t>
        <w:br w:type="textWrapping"/>
        <w:t xml:space="preserve">Elias himself, and of the conversion of the</w:t>
        <w:br w:type="textWrapping"/>
        <w:t xml:space="preserve">Jews which shall then take place,”—and</w:t>
        <w:br w:type="textWrapping"/>
        <w:t xml:space="preserve">shortly after calls him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Forerunner of</w:t>
        <w:br w:type="textWrapping"/>
        <w:t xml:space="preserve">the Lord’s second coming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Similarly Theodoret </w:t>
        <w:br w:type="textWrapping"/>
        <w:t xml:space="preserve">and Gregory of Nyssa; so also</w:t>
        <w:br w:type="textWrapping"/>
        <w:t xml:space="preserve">Augustine, saying, “That in the last times,</w:t>
        <w:br w:type="textWrapping"/>
        <w:t xml:space="preserve">before the judgment, the Jews (by means</w:t>
        <w:br w:type="textWrapping"/>
        <w:t xml:space="preserve">of Elias who shall expound the law to</w:t>
        <w:br w:type="textWrapping"/>
        <w:t xml:space="preserve">them) shall believe in Christ, is a thing</w:t>
        <w:br w:type="textWrapping"/>
        <w:t xml:space="preserve">much asserted in the sayings and hearts of</w:t>
        <w:br w:type="textWrapping"/>
        <w:t xml:space="preserve">the faithful.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Similarly most of the fathers</w:t>
        <w:br w:type="textWrapping"/>
        <w:t xml:space="preserve">and school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en. Jerome, however, on Isa. xi.</w:t>
        <w:br w:type="textWrapping"/>
        <w:t xml:space="preserve">11, says, “By no means, as our Judaizers</w:t>
        <w:br w:type="textWrapping"/>
        <w:t xml:space="preserve">say, shall all Israel be saved at the end of</w:t>
        <w:br w:type="textWrapping"/>
        <w:t xml:space="preserve">the world when the fulness of the nations</w:t>
        <w:br w:type="textWrapping"/>
        <w:t xml:space="preserve">shall have come in; but we understand all</w:t>
        <w:br w:type="textWrapping"/>
        <w:t xml:space="preserve">this of the first advent.” Grotius and</w:t>
        <w:br w:type="textWrapping"/>
        <w:t xml:space="preserve">Wetstein believe it to have been fulfilled</w:t>
        <w:br w:type="textWrapping"/>
        <w:t xml:space="preserve">after the destruction of Jerusalem, when,</w:t>
        <w:br w:type="textWrapping"/>
        <w:t xml:space="preserve">as Eusebius relates, thousands of the circumcision </w:t>
        <w:br w:type="textWrapping"/>
        <w:t xml:space="preserve">be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ame believers in Christ. But</w:t>
        <w:br w:type="textWrapping"/>
        <w:t xml:space="preserve">Tholuck has shewn that neither could</w:t>
        <w:br w:type="textWrapping"/>
        <w:t xml:space="preserve">the number of Gentiles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received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into the</w:t>
        <w:br w:type="textWrapping"/>
        <w:t xml:space="preserve">Chur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 before that time have answered</w:t>
        <w:br w:type="textWrapping"/>
        <w:t xml:space="preserve">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fulness of the Gentiles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nor those</w:t>
        <w:br w:type="textWrapping"/>
        <w:t xml:space="preserve">Jews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 Israel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expression accordingly </w:t>
        <w:br w:type="textWrapping"/>
        <w:t xml:space="preserve">Grotius endeavours to explain</w:t>
        <w:br w:type="textWrapping"/>
        <w:t xml:space="preserve">by a Rabbinical formula, that “all Israel</w:t>
        <w:br w:type="textWrapping"/>
        <w:t xml:space="preserve">have a part in the Messiah;” and this</w:t>
        <w:br w:type="textWrapping"/>
        <w:t xml:space="preserve">saying he supposes the Apostle to have</w:t>
        <w:br w:type="textWrapping"/>
        <w:t xml:space="preserve">used in a spiritual sense, meaning the</w:t>
        <w:br w:type="textWrapping"/>
        <w:t xml:space="preserve">Israel of God, as Gal. vi. 16.—The Reformers </w:t>
        <w:br w:type="textWrapping"/>
        <w:t xml:space="preserve">for the most part, in their zeal to</w:t>
        <w:br w:type="textWrapping"/>
        <w:t xml:space="preserve">impugn the millenarian superstitions then</w:t>
        <w:br w:type="textWrapping"/>
        <w:t xml:space="preserve">current, denied the future general conversion </w:t>
        <w:br w:type="textWrapping"/>
        <w:t xml:space="preserve">of the Jews, and would not reeognize it</w:t>
        <w:br w:type="textWrapping"/>
        <w:t xml:space="preserve">even in this passage:—Luther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did so recognize </w:t>
        <w:br w:type="textWrapping"/>
        <w:t xml:space="preserve">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at one time, but towards the end of</w:t>
        <w:br w:type="textWrapping"/>
        <w:t xml:space="preserve">his life spoke most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characteristically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</w:t>
        <w:br w:type="textWrapping"/>
        <w:t xml:space="preserve">strongly of what he conceived to be the impossibility </w:t>
        <w:br w:type="textWrapping"/>
        <w:t xml:space="preserve">of such national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conversion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.—</w:t>
        <w:br w:type="textWrapping"/>
        <w:t xml:space="preserve">Calvin says: “Many understand this of the</w:t>
        <w:br w:type="textWrapping"/>
        <w:t xml:space="preserve">Jewish people, as if Paul said that they</w:t>
        <w:br w:type="textWrapping"/>
        <w:t xml:space="preserve">should be restored to religion as before; but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extend the name of Israel to all the people</w:t>
        <w:br w:type="textWrapping"/>
        <w:t xml:space="preserve">of God, in this sense, when the Gentiles</w:t>
        <w:br w:type="textWrapping"/>
        <w:t xml:space="preserve">shall have entered in, the Jews also from</w:t>
        <w:br w:type="textWrapping"/>
        <w:t xml:space="preserve">their defection shall betake themselves to</w:t>
        <w:br w:type="textWrapping"/>
        <w:t xml:space="preserve">the obedience of the faith, and thus will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</w:t>
        <w:br w:type="textWrapping"/>
        <w:t xml:space="preserve">completed the salvation of all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Israel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</w:t>
        <w:br w:type="textWrapping"/>
        <w:t xml:space="preserve">God, which must be compounded of both:</w:t>
        <w:br w:type="textWrapping"/>
        <w:t xml:space="preserve">but so that the Jews shall have the prior</w:t>
        <w:br w:type="textWrapping"/>
        <w:t xml:space="preserve">place as being the firstborn in the family of</w:t>
        <w:br w:type="textWrapping"/>
        <w:t xml:space="preserve">God.” Bengel and Olshausen interpret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all</w:t>
        <w:br w:type="textWrapping"/>
        <w:t xml:space="preserve">Israel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elect believers of Israel: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Beza, Tholuck, and many others, hold that</w:t>
        <w:br w:type="textWrapping"/>
        <w:t xml:space="preserve">the words refer, as I have explained them</w:t>
        <w:br w:type="textWrapping"/>
        <w:t xml:space="preserve">above, to a national restoration of Israel to</w:t>
        <w:br w:type="textWrapping"/>
        <w:t xml:space="preserve">God’s favour.—I have not mixed with the</w:t>
        <w:br w:type="textWrapping"/>
        <w:t xml:space="preserve">consideration of this prophecy the question</w:t>
        <w:br w:type="textWrapping"/>
        <w:t xml:space="preserve">of the restoration of the Jews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Palestine,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  <w:br w:type="textWrapping"/>
        <w:t xml:space="preserve">as being clearly irrelevant to it: the</w:t>
        <w:br w:type="textWrapping"/>
        <w:t xml:space="preserve">matter here treated being,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their reception </w:t>
        <w:br w:type="textWrapping"/>
        <w:t xml:space="preserve">into the Church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):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 it is written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This quotation appears</w:t>
        <w:br w:type="textWrapping"/>
        <w:t xml:space="preserve">to have for its object to shew that the</w:t>
        <w:br w:type="textWrapping"/>
        <w:t xml:space="preserve">Redeemer was to come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 the behoof of</w:t>
        <w:br w:type="textWrapping"/>
        <w:t xml:space="preserve">God’s own chosen people.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—For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out of Sion,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Septuagint have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 the sake of Sion,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</w:t>
        <w:br w:type="textWrapping"/>
        <w:t xml:space="preserve">the A.V.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Zion.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The Apostle frequently </w:t>
        <w:br w:type="textWrapping"/>
        <w:t xml:space="preserve">varies from the Septuagint, and a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sufficient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reason can generally be assigned</w:t>
        <w:br w:type="textWrapping"/>
        <w:t xml:space="preserve">for the variation: here, though this reason</w:t>
        <w:br w:type="textWrapping"/>
        <w:t xml:space="preserve">is not apparent, we cannot doubt that such</w:t>
        <w:br w:type="textWrapping"/>
        <w:t xml:space="preserve">existed, for the Septuagint version would</w:t>
        <w:br w:type="textWrapping"/>
        <w:t xml:space="preserve">surely have suited his purpose even better</w:t>
        <w:br w:type="textWrapping"/>
        <w:t xml:space="preserve">than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out of,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had there been no objection</w:t>
        <w:br w:type="textWrapping"/>
        <w:t xml:space="preserve">to it. It may be that the whole citation is</w:t>
        <w:br w:type="textWrapping"/>
        <w:t xml:space="preserve">intended to express the sense of prophecy</w:t>
        <w:br w:type="textWrapping"/>
        <w:t xml:space="preserve">rather than the wording of any particular</w:t>
        <w:br w:type="textWrapping"/>
        <w:t xml:space="preserve">passage, and that the Apostle has, in the</w:t>
        <w:br w:type="textWrapping"/>
        <w:t xml:space="preserve">words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out of Sion,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summed up the prophecies </w:t>
        <w:br w:type="textWrapping"/>
        <w:t xml:space="preserve">which declare that the Redeemer</w:t>
        <w:br w:type="textWrapping"/>
        <w:t xml:space="preserve">should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spring out of Israel.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Hebrew</w:t>
        <w:br w:type="textWrapping"/>
        <w:t xml:space="preserve">and A.V. have,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unto them that turn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rom transgression in Jacob.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27.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when I take away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from another place in</w:t>
        <w:br w:type="textWrapping"/>
        <w:t xml:space="preserve">Isa. (ref.),—hardly from Jer. xxxi. 3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</w:t>
        <w:br w:type="textWrapping"/>
        <w:t xml:space="preserve">Stuart thinks;—and also containing a</w:t>
        <w:br w:type="textWrapping"/>
        <w:t xml:space="preserve">general reference to the character of God’s</w:t>
        <w:br w:type="textWrapping"/>
        <w:t xml:space="preserve">new covenant with them, rather than a</w:t>
        <w:br w:type="textWrapping"/>
        <w:t xml:space="preserve">strict reproduction of the original meaning:</w:t>
        <w:br w:type="textWrapping"/>
        <w:t xml:space="preserve">of any particular words of the prophet.</w:t>
        <w:br w:type="textWrapping"/>
        <w:t xml:space="preserve">“How came the Apostle, if he wished</w:t>
        <w:br w:type="textWrapping"/>
        <w:t xml:space="preserve">only to express the general thought, that</w:t>
        <w:br w:type="textWrapping"/>
        <w:t xml:space="preserve">the Messiah was come for Israel, to choose</w:t>
        <w:br w:type="textWrapping"/>
        <w:t xml:space="preserve">just this citation, consisting of two combined </w:t>
        <w:br w:type="textWrapping"/>
        <w:t xml:space="preserve">passages, when the same is expressed.</w:t>
        <w:br w:type="textWrapping"/>
        <w:t xml:space="preserve">more directly in other passages of the</w:t>
        <w:br w:type="textWrapping"/>
        <w:t xml:space="preserve">Old Testament? I believe that the term</w:t>
        <w:br w:type="textWrapping"/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shall come?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gave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asion for the quotation: </w:t>
        <w:br w:type="textWrapping"/>
        <w:t xml:space="preserve">if he did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ot refer this directly</w:t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SYYTOtBPtI7HbjqoeWWTf2n/Mw==">CgMxLjA4AHIhMWxfTjl0NnZZNzdtczVVRmFHaFpXV1llV1FacFNUeVJQ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