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duty, the more affectionately does the</w:t>
        <w:br w:type="textWrapping"/>
        <w:t xml:space="preserve">Apostle address his readers, with this word.”</w:t>
        <w:br w:type="textWrapping"/>
        <w:t xml:space="preserve">Tholuck.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give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allow space,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i.e.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interpose delay,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wrath.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must</w:t>
        <w:br w:type="textWrapping"/>
        <w:t xml:space="preserve">not understand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anger,’ </w:t>
        <w:br w:type="textWrapping"/>
        <w:t xml:space="preserve">nor (though it comes to that)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anger,’ but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generally;—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</w:t>
        <w:br w:type="textWrapping"/>
        <w:t xml:space="preserve">wrath room: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‘proceed not to execute</w:t>
        <w:br w:type="textWrapping"/>
        <w:t xml:space="preserve">it hastily, but leave it for its legitimate</w:t>
        <w:br w:type="textWrapping"/>
        <w:t xml:space="preserve">time, when He whose it is to avenge, will</w:t>
        <w:br w:type="textWrapping"/>
        <w:t xml:space="preserve">execute it: make not the wrath your own,</w:t>
        <w:br w:type="textWrapping"/>
        <w:t xml:space="preserve">but leave it for God.’ So in the main,</w:t>
        <w:br w:type="textWrapping"/>
        <w:t xml:space="preserve">but mostly understanding the wrath to be</w:t>
        <w:br w:type="textWrapping"/>
        <w:t xml:space="preserve">exclusively that of God, Chrysostom, Augustine, </w:t>
        <w:br w:type="textWrapping"/>
        <w:t xml:space="preserve">Theodoret, and the great body of</w:t>
        <w:br w:type="textWrapping"/>
        <w:t xml:space="preserve">Commentators. —Some Fathers interpret</w:t>
        <w:br w:type="textWrapping"/>
        <w:t xml:space="preserve">it,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yield to the anger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your adversary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);’ </w:t>
        <w:br w:type="textWrapping"/>
        <w:t xml:space="preserve">but this meaning for the words</w:t>
        <w:br w:type="textWrapping"/>
        <w:t xml:space="preserve">is hardly borne out.—The citation varies</w:t>
        <w:br w:type="textWrapping"/>
        <w:t xml:space="preserve">from the Septuagint, which has,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  <w:br w:type="textWrapping"/>
        <w:t xml:space="preserve">day of vengeance I will repay,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 is</w:t>
        <w:br w:type="textWrapping"/>
        <w:t xml:space="preserve">nearer the Hebrew,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mine is revenge and</w:t>
        <w:br w:type="textWrapping"/>
        <w:t xml:space="preserve">requital.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It is very remarkable, that in</w:t>
        <w:br w:type="textWrapping"/>
        <w:t xml:space="preserve">Heb. x. 30 the citation is made in the</w:t>
        <w:br w:type="textWrapping"/>
        <w:t xml:space="preserve">same words.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Nay rather,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the reading of our three oldest MSS.;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(A.V.) is very variously read and</w:t>
        <w:br w:type="textWrapping"/>
        <w:t xml:space="preserve">placed by the later ones.—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is meant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thou shalt heap coals of fire?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expression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coals of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occurs more than</w:t>
        <w:br w:type="textWrapping"/>
        <w:t xml:space="preserve">once in Ps. xviii.,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divine punitive judgments.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Can those be meant here? Clearly not, </w:t>
        <w:br w:type="textWrapping"/>
        <w:t xml:space="preserve">in their bare literal sense. For however</w:t>
        <w:br w:type="textWrapping"/>
        <w:t xml:space="preserve">true it may be, that ingratitude will add to</w:t>
        <w:br w:type="textWrapping"/>
        <w:t xml:space="preserve">the enemy’s list of crimes, and so subject</w:t>
        <w:br w:type="textWrapping"/>
        <w:t xml:space="preserve">him more to God’s punitive judgment, it is</w:t>
        <w:br w:type="textWrapping"/>
        <w:t xml:space="preserve">impossible that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bring this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  <w:br w:type="textWrapping"/>
        <w:t xml:space="preserve">be set as a precept, or a desirable thing</w:t>
        <w:br w:type="textWrapping"/>
        <w:t xml:space="preserve">among Christians. Again, can the expression </w:t>
        <w:br w:type="textWrapping"/>
        <w:t xml:space="preserve">be meant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glow and burn of</w:t>
        <w:br w:type="textWrapping"/>
        <w:t xml:space="preserve">shame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would accompany, even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 of a profane person, the receiving of</w:t>
        <w:br w:type="textWrapping"/>
        <w:t xml:space="preserve">benefits from an enemy?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meant; but is not probable, as not sufficing</w:t>
        <w:br w:type="textWrapping"/>
        <w:t xml:space="preserve">for the majesty of the subject. Merely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an enemy ashamed of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hardly be upheld as a motive for action.</w:t>
        <w:br w:type="textWrapping"/>
        <w:t xml:space="preserve">I understand the words,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in thus doing,</w:t>
        <w:br w:type="textWrapping"/>
        <w:t xml:space="preserve">you will be taking the most effectual vengeance: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as effectual as if you heaped coals</w:t>
        <w:br w:type="textWrapping"/>
        <w:t xml:space="preserve">of fire on his head.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you suffered </w:t>
        <w:br w:type="textWrapping"/>
        <w:t xml:space="preserve">yourselves to be provoked to revenge,</w:t>
        <w:br w:type="textWrapping"/>
        <w:t xml:space="preserve">you would be yielding to the enemy,—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by that which is evil: do not</w:t>
        <w:br w:type="textWrapping"/>
        <w:t xml:space="preserve">thus,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this, and in all things,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overcome </w:t>
        <w:br w:type="textWrapping"/>
        <w:t xml:space="preserve">the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others)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your good.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duty of cheerful</w:t>
        <w:br w:type="textWrapping"/>
        <w:t xml:space="preserve">obedience to the authorities of the 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has been well observed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some special</w:t>
        <w:br w:type="textWrapping"/>
        <w:t xml:space="preserve">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have given occasion to these</w:t>
        <w:br w:type="textWrapping"/>
        <w:t xml:space="preserve">exhortations. We can hardly attribute it</w:t>
        <w:br w:type="textWrapping"/>
        <w:t xml:space="preserve">to the seditious spirit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at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their influence in the Christian Church</w:t>
        <w:br w:type="textWrapping"/>
        <w:t xml:space="preserve">there would not be great; indeed, from</w:t>
        <w:br w:type="textWrapping"/>
        <w:t xml:space="preserve">Acts xxviii. the two seem to have been</w:t>
        <w:br w:type="textWrapping"/>
        <w:t xml:space="preserve">remarkably distinct. But disobedience to</w:t>
        <w:br w:type="textWrapping"/>
        <w:t xml:space="preserve">the civil authorities may have arisen from</w:t>
        <w:br w:type="textWrapping"/>
        <w:t xml:space="preserve">mistaken views among the Christians themselves </w:t>
        <w:br w:type="textWrapping"/>
        <w:t xml:space="preserve">as to the nature of Christ’s kingdom,</w:t>
        <w:br w:type="textWrapping"/>
        <w:t xml:space="preserve">and its relation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powers of this</w:t>
        <w:br w:type="textWrapping"/>
        <w:t xml:space="preserve">world. And such mistakes would naturally </w:t>
        <w:br w:type="textWrapping"/>
        <w:t xml:space="preserve">be rifest there, where the fountain of</w:t>
        <w:br w:type="textWrapping"/>
        <w:t xml:space="preserve">earthly power was situated: and there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and most effectually met by these</w:t>
        <w:br w:type="textWrapping"/>
        <w:t xml:space="preserve">precepts coming from apostolic authority.</w:t>
        <w:br w:type="textWrapping"/>
        <w:t xml:space="preserve">The way for them is prepared by verses 17</w:t>
        <w:br w:type="textWrapping"/>
        <w:t xml:space="preserve">ff. of the foregoing chapter. 1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13 ff.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parallel: compare notes there.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submit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‘be subject of his</w:t>
        <w:br w:type="textWrapping"/>
        <w:t xml:space="preserve">own free will and accord.’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there is</w:t>
        <w:br w:type="textWrapping"/>
        <w:t xml:space="preserve">no authority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heaven or earth—no</w:t>
        <w:br w:type="textWrapping"/>
        <w:t xml:space="preserve">power at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from God: 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eNQ4CN6pOF3YjORN04VXU7/lw==">CgMxLjA4AHIhMWRETnpVekhfVGZ0QUxDaDNJcWRJZE5PN01HMWFmVXNi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