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obligation of the other, or the strict prohibitions </w:t>
        <w:br w:type="textWrapping"/>
        <w:t xml:space="preserve">by which its sanctity was defended. </w:t>
        <w:br w:type="textWrapping"/>
        <w:t xml:space="preserve">The reply commonly furnished to</w:t>
        <w:br w:type="textWrapping"/>
        <w:t xml:space="preserve">these considerations, viz. that the Apostle</w:t>
        <w:br w:type="textWrapping"/>
        <w:t xml:space="preserve">was speaking here only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festivals,</w:t>
        <w:br w:type="textWrapping"/>
        <w:t xml:space="preserve">and therefore cannot refer to Christian</w:t>
        <w:br w:type="textWrapping"/>
        <w:t xml:space="preserve">ones, is a quibble of the poorest kind: its</w:t>
        <w:br w:type="textWrapping"/>
        <w:t xml:space="preserve">assertors themselves distinctly maintaining</w:t>
        <w:br w:type="textWrapping"/>
        <w:t xml:space="preserve">the obligation of one such Jewish festival</w:t>
        <w:br w:type="textWrapping"/>
        <w:t xml:space="preserve">on Christians. What I maintain is, that</w:t>
        <w:br w:type="textWrapping"/>
        <w:t xml:space="preserve">had the Apostle believed as they do, he</w:t>
        <w:br w:type="textWrapping"/>
        <w:t xml:space="preserve">could not by any possibility have written</w:t>
        <w:br w:type="textWrapping"/>
        <w:t xml:space="preserve">thus. Besides, in the face of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day,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assertion, that Jewish festivals </w:t>
        <w:br w:type="textWrapping"/>
        <w:t xml:space="preserve">only were contemplated, is altogether</w:t>
        <w:br w:type="textWrapping"/>
        <w:t xml:space="preserve">precluded.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words in brackets</w:t>
        <w:br w:type="textWrapping"/>
        <w:t xml:space="preserve">do not occur in most of our early authorities. </w:t>
        <w:br w:type="textWrapping"/>
        <w:t xml:space="preserve">They were probably omitted from</w:t>
        <w:br w:type="textWrapping"/>
        <w:t xml:space="preserve">the similar ending of both clauses in the</w:t>
        <w:br w:type="textWrapping"/>
        <w:t xml:space="preserve">original having misled some early copyists,</w:t>
        <w:br w:type="textWrapping"/>
        <w:t xml:space="preserve">and the eye having passed from one to the</w:t>
        <w:br w:type="textWrapping"/>
        <w:t xml:space="preserve">other (a very usual mistake) ; but perhaps.</w:t>
        <w:br w:type="textWrapping"/>
        <w:t xml:space="preserve">it may have been intentionally done, after</w:t>
        <w:br w:type="textWrapping"/>
        <w:t xml:space="preserve">the observation of the Lord’s Day came to.</w:t>
        <w:br w:type="textWrapping"/>
        <w:t xml:space="preserve">be regarded as binding.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giveth</w:t>
        <w:br w:type="textWrapping"/>
        <w:t xml:space="preserve">thanks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adduced as a practice of both</w:t>
        <w:br w:type="textWrapping"/>
        <w:t xml:space="preserve">parties, shews the universality among the</w:t>
        <w:br w:type="textWrapping"/>
        <w:t xml:space="preserve">early Christians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thanking God at meals: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1 Tim. iv. 3, 4.—The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saying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abstainer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over his ‘dinner of herbs.”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throughout the verse is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 illustrates the</w:t>
        <w:br w:type="textWrapping"/>
        <w:t xml:space="preserve">former, and at the same time sets in a still</w:t>
        <w:br w:type="textWrapping"/>
        <w:t xml:space="preserve">plainer light than before,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parties,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eater and the abstainer, are servants of</w:t>
        <w:br w:type="textWrapping"/>
        <w:t xml:space="preserve">another, even Christ.—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represent the whole sum of our course on</w:t>
        <w:br w:type="textWrapping"/>
        <w:t xml:space="preserve">earth.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inference,—that we</w:t>
        <w:br w:type="textWrapping"/>
        <w:t xml:space="preserve">are, under all circumstances, living or</w:t>
        <w:br w:type="textWrapping"/>
        <w:t xml:space="preserve">dying (and much more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eating or abstaining, </w:t>
        <w:br w:type="textWrapping"/>
        <w:t xml:space="preserve">observing days, or not observing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His property.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this lordship over all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Death and Resurrection of Christ.</w:t>
        <w:br w:type="textWrapping"/>
        <w:t xml:space="preserve">By that Death and Resurrection, the</w:t>
        <w:br w:type="textWrapping"/>
        <w:t xml:space="preserve">crowning events of his work of Redemption, </w:t>
        <w:br w:type="textWrapping"/>
        <w:t xml:space="preserve">He was manifested as the righteous</w:t>
        <w:br w:type="textWrapping"/>
        <w:t xml:space="preserve">Head over the race of man, which now,</w:t>
        <w:br w:type="textWrapping"/>
        <w:t xml:space="preserve">and in consequence man’s world also,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ongs </w:t>
        <w:br w:type="textWrapping"/>
        <w:t xml:space="preserve">by right to Him alone.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His death;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lived again.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both of the dead and of the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terms are repeated here for uniformity with</w:t>
        <w:br w:type="textWrapping"/>
        <w:t xml:space="preserve">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gone before in verses 7, 8: in</w:t>
        <w:br w:type="textWrapping"/>
        <w:t xml:space="preserve">sense comprehending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created beings.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returns to the duty of abstaining,—the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judging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stronger</w:t>
        <w:br w:type="textWrapping"/>
        <w:t xml:space="preserve">brother;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despising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YH3/2rhOXDHnTmPxYSy0ZvOPg==">CgMxLjA4AHIhMUcyR2FDOE9kZXBzNmF4RUt1djVreEJSc1FEekRfMzZ5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