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of apostolic work.</w:t>
        <w:br w:type="textWrapping"/>
        <w:t xml:space="preserve">—On the construction of this sentence, see</w:t>
        <w:br w:type="textWrapping"/>
        <w:t xml:space="preserve">note in my Greek Test.).—Respecting the</w:t>
        <w:br w:type="textWrapping"/>
        <w:t xml:space="preserve">question whether this journey into Spain</w:t>
        <w:br w:type="textWrapping"/>
        <w:t xml:space="preserve">was ever taken, the views of Commentators</w:t>
        <w:br w:type="textWrapping"/>
        <w:t xml:space="preserve">have differed, according to their conclusion</w:t>
        <w:br w:type="textWrapping"/>
        <w:t xml:space="preserve">respecting the liberation of the Apostle</w:t>
        <w:br w:type="textWrapping"/>
        <w:t xml:space="preserve">from his imprisonment at Rome. I have</w:t>
        <w:br w:type="textWrapping"/>
        <w:t xml:space="preserve">discussed this in the Introduction to the</w:t>
        <w:br w:type="textWrapping"/>
        <w:t xml:space="preserve">Pastoral Epistles, § ii.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some-</w:t>
        <w:br w:type="textWrapping"/>
        <w:t xml:space="preserve">what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an affectionate limitation of the</w:t>
        <w:br w:type="textWrapping"/>
        <w:t xml:space="preserve">expression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be filled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implying that he</w:t>
        <w:br w:type="textWrapping"/>
        <w:t xml:space="preserve">would wish to remain much longer than</w:t>
        <w:br w:type="textWrapping"/>
        <w:t xml:space="preserve">he anticipated being able to do,—and also,</w:t>
        <w:br w:type="textWrapping"/>
        <w:t xml:space="preserve">as Chrysostom says, “because no length of</w:t>
        <w:br w:type="textWrapping"/>
        <w:t xml:space="preserve">time ean fill me, nor cause in me satiety</w:t>
        <w:br w:type="textWrapping"/>
        <w:t xml:space="preserve">of your company.”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Acts xix.</w:t>
        <w:br w:type="textWrapping"/>
        <w:t xml:space="preserve">21; xxiv. 17; 2 Cor. viii. 19.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ministering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minister,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because he treats</w:t>
        <w:br w:type="textWrapping"/>
        <w:t xml:space="preserve">the whole action as already begun.</w:t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2 Cor. ix. 1 ff.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poor</w:t>
        <w:br w:type="textWrapping"/>
        <w:t xml:space="preserve">among the saints which are at Jerusalem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Olshausen remarks, that this shews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community of goods in the church at Jerusalem not to have lasted long: compare.</w:t>
        <w:br w:type="textWrapping"/>
        <w:t xml:space="preserve">Gal. ii.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re-stated,</w:t>
        <w:br w:type="textWrapping"/>
        <w:t xml:space="preserve">with a view to an inference from it, viz.</w:t>
        <w:br w:type="textWrapping"/>
        <w:t xml:space="preserve">that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pleasure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not merely a</w:t>
        <w:br w:type="textWrapping"/>
        <w:t xml:space="preserve">matter of benevolence, but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repayment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the Gentiles being debtors to the Jews for</w:t>
        <w:br w:type="textWrapping"/>
        <w:t xml:space="preserve">spiritual blessings. This general principle</w:t>
        <w:br w:type="textWrapping"/>
        <w:t xml:space="preserve">is very similarly enounced in 1 Cor. ix. 11.</w:t>
        <w:br w:type="textWrapping"/>
        <w:t xml:space="preserve">It is suggested by’ Grotius and others, that</w:t>
        <w:br w:type="textWrapping"/>
        <w:t xml:space="preserve">by this St. Paul wished to hint to the</w:t>
        <w:br w:type="textWrapping"/>
        <w:t xml:space="preserve">Romans the duty of a similar contribution.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probably said generally,</w:t>
        <w:br w:type="textWrapping"/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fruit of the faith and love of the 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secured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“as</w:t>
        <w:br w:type="textWrapping"/>
        <w:t xml:space="preserve">if he were laying it up into royal treasuries,</w:t>
        <w:br w:type="textWrapping"/>
        <w:t xml:space="preserve">in an inviolable and safe place.” Chrysostom.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(i.e. through your</w:t>
        <w:br w:type="textWrapping"/>
        <w:t xml:space="preserve">city).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fulness of the</w:t>
        <w:br w:type="textWrapping"/>
        <w:t xml:space="preserve">blessing 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imports that richness</w:t>
        <w:br w:type="textWrapping"/>
        <w:t xml:space="preserve">of apostolic grace which he was persuaded</w:t>
        <w:br w:type="textWrapping"/>
        <w:t xml:space="preserve">he should impart to them. So he calls his</w:t>
        <w:br w:type="textWrapping"/>
        <w:t xml:space="preserve">presence in the churches a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benefit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,”’—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IGpXk9q4JREb7J/NpheJWCTKXA==">CgMxLjA4AHIhMU00N1Ixc3F2NkQ4Z3FqOE9UX0x5ekV0Z0hfbElRTGNt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