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offences, he says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God of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</w:t>
        <w:br w:type="textWrapping"/>
        <w:t xml:space="preserve">might encourage them to expect liberation</w:t>
        <w:br w:type="textWrapping"/>
        <w:t xml:space="preserve">from these persons.” Chrysostom: and so</w:t>
        <w:br w:type="textWrapping"/>
        <w:t xml:space="preserve">most Commentators. De Wette prefers</w:t>
        <w:br w:type="textWrapping"/>
        <w:t xml:space="preserve">taking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God of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 generally.</w:t>
        <w:br w:type="textWrapping"/>
        <w:t xml:space="preserve">as ‘the God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and the usage</w:t>
        <w:br w:type="textWrapping"/>
        <w:t xml:space="preserve">of the expression (see references) seems to</w:t>
        <w:br w:type="textWrapping"/>
        <w:t xml:space="preserve">favour this.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bruise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</w:t>
        <w:br w:type="textWrapping"/>
        <w:t xml:space="preserve">similitude from Gen. iii. 15. It does not</w:t>
        <w:br w:type="textWrapping"/>
        <w:t xml:space="preserve">express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 prophetic assurance,</w:t>
        <w:br w:type="textWrapping"/>
        <w:t xml:space="preserve">and encouragement in bearing up against</w:t>
        <w:br w:type="textWrapping"/>
        <w:t xml:space="preserve">all adversaries, that it would not be long</w:t>
        <w:br w:type="textWrapping"/>
        <w:t xml:space="preserve">before the great Adversary himself would</w:t>
        <w:br w:type="textWrapping"/>
        <w:t xml:space="preserve">be bruised under their feet.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grace,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appears as if the Epistle</w:t>
        <w:br w:type="textWrapping"/>
        <w:t xml:space="preserve">was intended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this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</w:t>
        <w:br w:type="textWrapping"/>
        <w:t xml:space="preserve">benediction, but the Apostle found occasion</w:t>
        <w:br w:type="textWrapping"/>
        <w:t xml:space="preserve">to add more. This he does also in other</w:t>
        <w:br w:type="textWrapping"/>
        <w:t xml:space="preserve">Epistles: see1 Cor. xvi. 23, 24; similarly Phil.</w:t>
        <w:br w:type="textWrapping"/>
        <w:t xml:space="preserve">iv. 20, and vv. 21—23 after the doxology,</w:t>
        <w:br w:type="textWrapping"/>
        <w:t xml:space="preserve">—2 Thess. iii. 16, 17, 18:—1 Tim. vi. 16,</w:t>
        <w:br w:type="textWrapping"/>
        <w:t xml:space="preserve">17 ff.:—2 Tim. iv. 18, 19 ff.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21—24.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GREETINGS FROM VARIOUS PERSONS.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Lucius must not be mistaken</w:t>
        <w:br w:type="textWrapping"/>
        <w:t xml:space="preserve">for Lucas (or Lu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anus),—but was probably Lucius of Cyrene, Acts xiii. 1, see note</w:t>
        <w:br w:type="textWrapping"/>
        <w:t xml:space="preserve">there—Jason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the same who is</w:t>
        <w:br w:type="textWrapping"/>
        <w:t xml:space="preserve">mentioned Acts xvii. 5, as the host of Paul</w:t>
        <w:br w:type="textWrapping"/>
        <w:t xml:space="preserve">and Silas at Thessalonica.—A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Sopater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(son)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Pyrrhus of Berea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occurs Acts</w:t>
        <w:br w:type="textWrapping"/>
        <w:t xml:space="preserve">xx. 4, but it is quite uncertain whether</w:t>
        <w:br w:type="textWrapping"/>
        <w:t xml:space="preserve">this Sosipater is the same person.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  <w:br w:type="textWrapping"/>
        <w:t xml:space="preserve">Kinsmen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above, ver. 7. These persons</w:t>
        <w:br w:type="textWrapping"/>
        <w:t xml:space="preserve">may have been Jews; but we cannot tell</w:t>
        <w:br w:type="textWrapping"/>
        <w:t xml:space="preserve">whether the expression may not be used</w:t>
        <w:br w:type="textWrapping"/>
        <w:t xml:space="preserve">in a wider sense.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| There is nothing strange (as Olshausen supposes) in this</w:t>
        <w:br w:type="textWrapping"/>
        <w:t xml:space="preserve">salutation being inserted in the first person.</w:t>
        <w:br w:type="textWrapping"/>
        <w:t xml:space="preserve">It would be natural enough that Tertius</w:t>
        <w:br w:type="textWrapping"/>
        <w:t xml:space="preserve">the amanuensis, inserting the words, should</w:t>
        <w:br w:type="textWrapping"/>
        <w:t xml:space="preserve">change the form into the first person, and</w:t>
        <w:br w:type="textWrapping"/>
        <w:t xml:space="preserve">afterwards proceed from the dictation of</w:t>
        <w:br w:type="textWrapping"/>
        <w:t xml:space="preserve">the Apostle as before. Some suppose him</w:t>
        <w:br w:type="textWrapping"/>
        <w:t xml:space="preserve">to have done this on transcribing the</w:t>
        <w:br w:type="textWrapping"/>
        <w:t xml:space="preserve">Epistle.—Tholuck notices this irregularity</w:t>
        <w:br w:type="textWrapping"/>
        <w:t xml:space="preserve">as a corroboration of the genuineness of</w:t>
        <w:br w:type="textWrapping"/>
        <w:t xml:space="preserve">the chapter. On the supposed identity of</w:t>
        <w:br w:type="textWrapping"/>
        <w:t xml:space="preserve">Tertius with Silas, see note on Acts xv. 22.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Gaius is mentioned 1 Cor. i.</w:t>
        <w:br w:type="textWrapping"/>
        <w:t xml:space="preserve">14, as having been baptized by St. Paul.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host of the whole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</w:t>
        <w:br w:type="textWrapping"/>
        <w:t xml:space="preserve">implies that the assemblies of the church</w:t>
        <w:br w:type="textWrapping"/>
        <w:t xml:space="preserve">were held in his house :—or perhaps, that</w:t>
        <w:br w:type="textWrapping"/>
        <w:t xml:space="preserve">his hospitality to Christians was universal.</w:t>
        <w:br w:type="textWrapping"/>
        <w:t xml:space="preserve">—Erastus, holding this office, can hardly</w:t>
        <w:br w:type="textWrapping"/>
        <w:t xml:space="preserve">have been the same who was with the</w:t>
        <w:br w:type="textWrapping"/>
        <w:t xml:space="preserve">Apostle in Ephesus, Acts xix. 22. It is</w:t>
        <w:br w:type="textWrapping"/>
        <w:t xml:space="preserve">more probable that the Erastus of 2 Tim.</w:t>
        <w:br w:type="textWrapping"/>
        <w:t xml:space="preserve">iv. 20 is identical with this than with that</w:t>
        <w:br w:type="textWrapping"/>
        <w:t xml:space="preserve">other.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1 Cor. i. 1:</w:t>
        <w:br w:type="textWrapping"/>
        <w:t xml:space="preserve">one among the brethren. The rest have</w:t>
        <w:br w:type="textWrapping"/>
        <w:t xml:space="preserve">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their services or offices.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benediction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repeated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see above on ver 20.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25—27.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CONCLUDING DOXOLOGY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genuineness of this doxology and its position in the Epistle have been much questioned. From the external evidence, which</w:t>
        <w:br w:type="textWrapping"/>
        <w:t xml:space="preserve">may be seen in the various readings in my</w:t>
        <w:br w:type="textWrapping"/>
        <w:t xml:space="preserve">Greek Test., it is plain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genuineness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part of the Epistle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placed beyond</w:t>
        <w:br w:type="textWrapping"/>
        <w:t xml:space="preserve">all reasonable doubt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unusual character of the position</w:t>
        <w:br w:type="textWrapping"/>
        <w:t xml:space="preserve">and diction of this doxology las been</w:t>
        <w:br w:type="textWrapping"/>
        <w:t xml:space="preserve">used as an internal argument against the</w:t>
        <w:br w:type="textWrapping"/>
        <w:t xml:space="preserve">genuineness of the portion. St. Paul never</w:t>
        <w:br w:type="textWrapping"/>
        <w:t xml:space="preserve">elsewhere ends with such a doxology. His</w:t>
        <w:br w:type="textWrapping"/>
        <w:t xml:space="preserve">doxologies, when he does use such, are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5T02:58:00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25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DypwQFlMuMVy2q+w8xttsdYmmQ==">CgMxLjAaJwoBMBIiCiAIBCocCgtBQUFBX2ItUm1GWRAIGgtBQUFBX2ItUm1GWSLbAQoLQUFBQV9iLVJtRlkSqwEKC0FBQUFfYi1SbUZZEgtBQUFBX2ItUm1GWRoTCgl0ZXh0L2h0bWwSBnRhZyAyNSIUCgp0ZXh0L3BsYWluEgZ0YWcgMjUqGyIVMTEyNDk4NTc4MDg2NDkzODMyNDEwKAA4ADCTkKiHvTE4k5Coh70xShEKCnRleHQvcGxhaW4SA1RoZVoMMnJpeWM2cTZ5ZHpicgIgAHgAmgEGCAAQABgAqgEIEgZ0YWcgMjUYk5Coh70xIJOQqIe9MUIQa2l4LjFwZzV5aTE0c2FzdzgAciExVUtLbnVtUVloMmFHU1BpN292d0xMVnYxbUlKXy1GW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