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inability to comprehend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following by and by.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cannot know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matter of our spiritual teaching, itself</w:t>
        <w:br w:type="textWrapping"/>
        <w:t xml:space="preserve">furnished by the Spirit), because they are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man exalted by</w:t>
        <w:br w:type="textWrapping"/>
        <w:t xml:space="preserve">the Spirit of God into its proper paramount</w:t>
        <w:br w:type="textWrapping"/>
        <w:t xml:space="preserve">office of judging and ruling, and inspired</w:t>
        <w:br w:type="textWrapping"/>
        <w:t xml:space="preserve">and enabled for that office)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discerned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 contrary)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</w:t>
        <w:br w:type="textWrapping"/>
        <w:t xml:space="preserve">is 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(he, in whom the spirit rules:</w:t>
        <w:br w:type="textWrapping"/>
        <w:t xml:space="preserve">and since by man’s fall the spirit is overridden</w:t>
        <w:br w:type="textWrapping"/>
        <w:t xml:space="preserve">by the animal soul, and in abey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 presupposes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infusion</w:t>
        <w:br w:type="textWrapping"/>
        <w:t xml:space="preserve">of the Holy Spirit, to quicken and inform</w:t>
        <w:br w:type="textWrapping"/>
        <w:t xml:space="preserve">the spirit—so that there is no such thing</w:t>
        <w:br w:type="textWrapping"/>
        <w:t xml:space="preserve">as an unregenerate spiritual man)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cerneth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things; for the Apostle is generalizing,</w:t>
        <w:br w:type="textWrapping"/>
        <w:t xml:space="preserve">and shewing the high position of the spiritual</w:t>
        <w:br w:type="textWrapping"/>
        <w:t xml:space="preserve">man, who alone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judge things</w:t>
        <w:br w:type="textWrapping"/>
        <w:t xml:space="preserve">by their true standard),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 he himself is</w:t>
        <w:br w:type="textWrapping"/>
        <w:t xml:space="preserve">discerned by none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is not also spiritual,</w:t>
        <w:br w:type="textWrapping"/>
        <w:t xml:space="preserve">see ch. xiv. 29; 1 John iv. 1, where</w:t>
        <w:br w:type="textWrapping"/>
        <w:t xml:space="preserve">such judgment is expressly attributed to</w:t>
        <w:br w:type="textWrapping"/>
        <w:t xml:space="preserve">Christian believers). “ For,” says Chry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sostom,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“he that can see,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discerns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belong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him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see, but by none of</w:t>
        <w:br w:type="textWrapping"/>
        <w:t xml:space="preserve">these latter is he himself discerned.”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PROOF OF THE ASSERTION, THAT HE</w:t>
        <w:br w:type="textWrapping"/>
        <w:t xml:space="preserve">HIMSELF IS DISCERNED BY NONE. In order</w:t>
        <w:br w:type="textWrapping"/>
        <w:t xml:space="preserve">for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unassisted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gifted from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judge the spiritual man, he must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mind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intent and</w:t>
        <w:br w:type="textWrapping"/>
        <w:t xml:space="preserve">disposition of Christ;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 more,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able</w:t>
        <w:br w:type="textWrapping"/>
        <w:t xml:space="preserve">to teach, to instruct,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—being not, as</w:t>
        <w:br w:type="textWrapping"/>
        <w:t xml:space="preserve">the spiritual man,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taught 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must</w:t>
        <w:br w:type="textWrapping"/>
        <w:t xml:space="preserve">have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independent wisdom of 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Christ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there,</w:t>
        <w:br w:type="textWrapping"/>
        <w:t xml:space="preserve">of whom this can be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among whom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 and the other Apostles)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wisdom independent of Christ, nor do we</w:t>
        <w:br w:type="textWrapping"/>
        <w:t xml:space="preserve">know His mind, nor can we teach Him,</w:t>
        <w:br w:type="textWrapping"/>
        <w:t xml:space="preserve">but)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mind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same mind,</w:t>
        <w:br w:type="textWrapping"/>
        <w:t xml:space="preserve">in our degree of apprehensiveness of it, by</w:t>
        <w:br w:type="textWrapping"/>
        <w:t xml:space="preserve">the imparting of His Spirit, which is in</w:t>
        <w:br w:type="textWrapping"/>
        <w:t xml:space="preserve">Him:—and so can judge all things.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mind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spiritual intent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designs of Christ.—THE LORD, in the</w:t>
        <w:br w:type="textWrapping"/>
        <w:t xml:space="preserve">prophecy, is spoken of JEHOVAH; but in</w:t>
        <w:br w:type="textWrapping"/>
        <w:t xml:space="preserve">the whole of Isa. xl.,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incarnate Jehovah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the subject.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III. 1—4.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 COULD NOT SPEAK TO</w:t>
        <w:br w:type="textWrapping"/>
        <w:t xml:space="preserve">THEM IN THE PERFECT SPIRITUAL MANNER</w:t>
        <w:br w:type="textWrapping"/>
        <w:t xml:space="preserve">ABOVE DESCRIBED, SEEING THAT</w:t>
        <w:br w:type="textWrapping"/>
        <w:t xml:space="preserve">THEY WERE CARNAL, AND STILL REMAINED</w:t>
        <w:br w:type="textWrapping"/>
        <w:t xml:space="preserve">SO, AS WAS SHEWN BY THEIR DIVISIONS.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as it may be rendered,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i.e. as well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natural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man, was</w:t>
        <w:br w:type="textWrapping"/>
        <w:t xml:space="preserve">compelled to stand on this lower ground,—</w:t>
        <w:br w:type="textWrapping"/>
        <w:t xml:space="preserve">he, because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cannot understand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things</w:t>
        <w:br w:type="textWrapping"/>
        <w:t xml:space="preserve">of the Spirit of God: 1, because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 could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receive them. But it is perhaps</w:t>
        <w:br w:type="textWrapping"/>
        <w:t xml:space="preserve">better to render as in the text, and understand</w:t>
        <w:br w:type="textWrapping"/>
        <w:t xml:space="preserve">it, with Stanley,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ch.</w:t>
        <w:br w:type="textWrapping"/>
        <w:t xml:space="preserve">ii, 1, “What I have just been saying, was</w:t>
        <w:br w:type="textWrapping"/>
        <w:t xml:space="preserve">exemplified in our practice.” </w:t>
        <w:br w:type="textWrapping"/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unto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men of flesh]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Apostle uses two different</w:t>
        <w:br w:type="textWrapping"/>
        <w:t xml:space="preserve">words here and in ver. 3 to convey the</w:t>
        <w:br w:type="textWrapping"/>
        <w:t xml:space="preserve">idea of carnality. Here it is the more</w:t>
        <w:br w:type="textWrapping"/>
        <w:t xml:space="preserve">gross and material word, signifying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there it is the finer and figurative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partaking of the character,</w:t>
        <w:br w:type="textWrapping"/>
        <w:t xml:space="preserve">and under the influence of the flesh. And</w:t>
        <w:br w:type="textWrapping"/>
        <w:t xml:space="preserve">there is a propriety in this distinction.</w:t>
        <w:br w:type="textWrapping"/>
        <w:t xml:space="preserve">Here, he says that he was compelled to</w:t>
        <w:br w:type="textWrapping"/>
        <w:t xml:space="preserve">speak to them as if they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of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,—as if they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using in</w:t>
        <w:br w:type="textWrapping"/>
        <w:t xml:space="preserve">both cases the material comparison, and</w:t>
        <w:br w:type="textWrapping"/>
        <w:t xml:space="preserve">the particle of comparison,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But in</w:t>
        <w:br w:type="textWrapping"/>
        <w:t xml:space="preserve">ver. 3 he drops comparison, and asserts</w:t>
        <w:br w:type="textWrapping"/>
        <w:t xml:space="preserve">matter of fact—‘Are ye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fleshly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carnal, living after the flesh, resisting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15X0KoWbw8ul99JsMDgae2+I1Q==">CgMxLjA4AHIhMW00Y3hrWWxZazYxb0JQYm5mbDF4SWFBcG9ucDk3c3RC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