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excluded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though it is not the</w:t>
        <w:br w:type="textWrapping"/>
        <w:t xml:space="preserve">principal thought :—rather the redemption</w:t>
        <w:br w:type="textWrapping"/>
        <w:t xml:space="preserve">of the body from sin,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making it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member of Himself by the Spirit.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far from the case of the Lord and</w:t>
        <w:br w:type="textWrapping"/>
        <w:t xml:space="preserve">the body answering to the other, God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raised up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 viii. 11),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will raise us up too by His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Resumption of the fact that the</w:t>
        <w:br w:type="textWrapping"/>
        <w:t xml:space="preserve">body is for the Lord, and the Lord for</w:t>
        <w:br w:type="textWrapping"/>
        <w:t xml:space="preserve">the body. The two are so intimately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a mystical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Body,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our 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parts of ourselves in our perfect organization,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  <w:br w:type="textWrapping"/>
        <w:t xml:space="preserve">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Christian axiom is introduced as before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 ye not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  <w:br w:type="textWrapping"/>
        <w:t xml:space="preserve">(literally)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granted that</w:t>
        <w:br w:type="textWrapping"/>
        <w:t xml:space="preserve">my body is a member, and my members</w:t>
        <w:br w:type="textWrapping"/>
        <w:t xml:space="preserve">are members of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alienated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taken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word is not merely super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fluous,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I take ... and make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...,” as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Christ’s 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my</w:t>
        <w:br w:type="textWrapping"/>
        <w:t xml:space="preserve">own members),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I make them an</w:t>
        <w:br w:type="textWrapping"/>
        <w:t xml:space="preserve">harlot’s 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?—The expression is put</w:t>
        <w:br w:type="textWrapping"/>
        <w:t xml:space="preserve">as coarsely and startlingly as possible, with</w:t>
        <w:br w:type="textWrapping"/>
        <w:t xml:space="preserve">the emphasis on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harlot’s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16.] Explanation and justification of the</w:t>
        <w:br w:type="textWrapping"/>
        <w:t xml:space="preserve">expression,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members of an harlot.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</w:t>
        <w:br w:type="textWrapping"/>
        <w:t xml:space="preserve">he had said, “Do you think the expression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them members of an 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too</w:t>
        <w:br w:type="textWrapping"/>
        <w:t xml:space="preserve">strong?”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 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ull construction would be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</w:t>
        <w:br w:type="textWrapping"/>
        <w:t xml:space="preserve">which is joined to an harlot, and the</w:t>
        <w:br w:type="textWrapping"/>
        <w:t xml:space="preserve">harlot, are one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he is here</w:t>
        <w:br w:type="textWrapping"/>
        <w:t xml:space="preserve">bringing out the criminality of the fornica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leaves the other out of view.</w:t>
        <w:br w:type="textWrapping"/>
        <w:t xml:space="preserve">—The citation is spoken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marriage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but here as above (see on ver. 13) he is</w:t>
        <w:br w:type="textWrapping"/>
        <w:t xml:space="preserve">treating merely of the physical union,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same in both cases.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saith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viz. GOD, who is the speaker in the Scriptures</w:t>
        <w:br w:type="textWrapping"/>
        <w:t xml:space="preserve">so in citing the same words, our</w:t>
        <w:br w:type="textWrapping"/>
        <w:t xml:space="preserve">Lord gives them to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 that made them</w:t>
        <w:br w:type="textWrapping"/>
        <w:t xml:space="preserve">from the beginning,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Matt. xix. 5. They</w:t>
        <w:br w:type="textWrapping"/>
        <w:t xml:space="preserve">were spoken by the mouth of Adam, but</w:t>
        <w:br w:type="textWrapping"/>
        <w:t xml:space="preserve">prophetically, under God’s inspiration. The</w:t>
        <w:br w:type="textWrapping"/>
        <w:t xml:space="preserve">words they two are not in the Hebrew,</w:t>
        <w:br w:type="textWrapping"/>
        <w:t xml:space="preserve">but in the Septuagint and the Samaritan</w:t>
        <w:br w:type="textWrapping"/>
        <w:t xml:space="preserve">Pentateuch, and are found in the Rabbinical</w:t>
        <w:br w:type="textWrapping"/>
        <w:t xml:space="preserve">citations of the passage. See note on</w:t>
        <w:br w:type="textWrapping"/>
        <w:t xml:space="preserve">Matt. xix. 5.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Union to God,</w:t>
        <w:br w:type="textWrapping"/>
        <w:t xml:space="preserve">His service, His ways, is often expressed by this word (joined or attached</w:t>
        <w:br w:type="textWrapping"/>
        <w:t xml:space="preserve">in the Septuagint, but 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</w:t>
        <w:br w:type="textWrapping"/>
        <w:t xml:space="preserve">inner union with Christ in spirit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of which is the normal state of every</w:t>
        <w:br w:type="textWrapping"/>
        <w:t xml:space="preserve">believer, and of which it may be said</w:t>
        <w:br w:type="textWrapping"/>
        <w:t xml:space="preserve">that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one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Christ. See</w:t>
        <w:br w:type="textWrapping"/>
        <w:t xml:space="preserve">John xvii. 21, and the parable of John</w:t>
        <w:br w:type="textWrapping"/>
        <w:t xml:space="preserve">xv. 1—7. Meyer rightly remarks, that</w:t>
        <w:br w:type="textWrapping"/>
        <w:t xml:space="preserve">the mystical marriage between Christ and</w:t>
        <w:br w:type="textWrapping"/>
        <w:t xml:space="preserve">His Church must not be pressed here, as</w:t>
        <w:br w:type="textWrapping"/>
        <w:t xml:space="preserve">the relations of the compared are not correspondent. Still however, the inner verity</w:t>
        <w:br w:type="textWrapping"/>
        <w:t xml:space="preserve">of that mystical relation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  <w:br w:type="textWrapping"/>
        <w:t xml:space="preserve">both passages.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18—20.]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 prohibition of fornication, and its grounds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Flee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might</w:t>
        <w:br w:type="textWrapping"/>
        <w:t xml:space="preserve">be followed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is more</w:t>
        <w:br w:type="textWrapping"/>
        <w:t xml:space="preserve">forcible in this disconnected form.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sin...]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assertion, which has</w:t>
        <w:br w:type="textWrapping"/>
        <w:t xml:space="preserve">surprised many of the Commentators, is</w:t>
        <w:br w:type="textWrapping"/>
        <w:t xml:space="preserve">nevertheless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strictly 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Drunkenness and</w:t>
        <w:br w:type="textWrapping"/>
        <w:t xml:space="preserve">gluttony, e. g. are sins done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body, and are sins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abuse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body.</w:t>
        <w:br w:type="textWrapping"/>
        <w:t xml:space="preserve">but they are still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outside the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,—introduced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sinful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in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effect it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QTc/vhzUhs7fPnQd9VrOmCcpDw==">CgMxLjA4AHIhMXFWQmNzTjlxWG1NMzlmRk5OSHhUUk9UdEpKTFBQRjBx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