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general term leave here,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parties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husband and wife,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</w:t>
        <w:br w:type="textWrapping"/>
        <w:t xml:space="preserve">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(as Matt. v. 31,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.), which would</w:t>
        <w:br w:type="textWrapping"/>
        <w:t xml:space="preserve">apply only to the husband. In the A. V. this</w:t>
        <w:br w:type="textWrapping"/>
        <w:t xml:space="preserve">identity of terms is unfortunately neglected.</w:t>
        <w:br w:type="textWrapping"/>
        <w:t xml:space="preserve">The same word,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part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</w:t>
        <w:br w:type="textWrapping"/>
        <w:t xml:space="preserve">well have expressed both cases.—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</w:t>
        <w:br w:type="textWrapping"/>
        <w:t xml:space="preserve">Greek as well as Roman customs, the wife</w:t>
        <w:br w:type="textWrapping"/>
        <w:t xml:space="preserve">had the power of effecting a divorce.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At Athens,—when the divorce originated</w:t>
        <w:br w:type="textWrapping"/>
        <w:t xml:space="preserve">with the wife, she was said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house of her husband: when with the husband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sent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At Rome, the only</w:t>
        <w:br w:type="textWrapping"/>
        <w:t xml:space="preserve">exception to the wife’s liberty of effecting a</w:t>
        <w:br w:type="textWrapping"/>
        <w:t xml:space="preserve">divorce appears to have been in the case of</w:t>
        <w:br w:type="textWrapping"/>
        <w:t xml:space="preserve">a freedwoman who had married her patronus. Olshausen thinks that St. Paul puts</w:t>
        <w:br w:type="textWrapping"/>
        <w:t xml:space="preserve">both alternatives, because he regards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party as the superior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marriage. But, as Meyer remarks, this would</w:t>
        <w:br w:type="textWrapping"/>
        <w:t xml:space="preserve">be inconsistent with the fundamental law of.</w:t>
        <w:br w:type="textWrapping"/>
        <w:t xml:space="preserve">marriage, Gen 16, and with the Apos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tle’s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own view of it, ch. xi. 3, xv. 34; Eph.</w:t>
        <w:br w:type="textWrapping"/>
        <w:t xml:space="preserve">v.22; 1 Tim, ii. 11, 12.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</w:t>
        <w:br w:type="textWrapping"/>
        <w:t xml:space="preserve">of the above precept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sanctified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]</w:t>
        <w:br w:type="textWrapping"/>
        <w:t xml:space="preserve">The meaning will best be apprehended by</w:t>
        <w:br w:type="textWrapping"/>
        <w:t xml:space="preserve">remembering (1)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under the</w:t>
        <w:br w:type="textWrapping"/>
        <w:t xml:space="preserve">Gospel, answers to dedication to God under</w:t>
        <w:br w:type="textWrapping"/>
        <w:t xml:space="preserve">the law; (2) that the sanctified under the</w:t>
        <w:br w:type="textWrapping"/>
        <w:t xml:space="preserve">Gospel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 of Christian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dedicated</w:t>
        <w:br w:type="textWrapping"/>
        <w:t xml:space="preserve">to God, and thus become His in a</w:t>
        <w:br w:type="textWrapping"/>
        <w:t xml:space="preserve">peculiar manner: (3) that this being so,</w:t>
        <w:br w:type="textWrapping"/>
        <w:t xml:space="preserve">things belonging to, relatives inseparably</w:t>
        <w:br w:type="textWrapping"/>
        <w:t xml:space="preserve">connected with,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people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said</w:t>
        <w:br w:type="textWrapping"/>
        <w:t xml:space="preserve">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hallowed by their holiness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holy</w:t>
        <w:br w:type="textWrapping"/>
        <w:t xml:space="preserve">in themselves, but sanctified, i. e. included</w:t>
        <w:br w:type="textWrapping"/>
        <w:t xml:space="preserve">in the holiness of the faithful relative.</w:t>
        <w:br w:type="textWrapping"/>
        <w:t xml:space="preserve">Chrysostom well shews the distinction</w:t>
        <w:br w:type="textWrapping"/>
        <w:t xml:space="preserve">between this case and that in ch. vi. 15,</w:t>
        <w:br w:type="textWrapping"/>
        <w:t xml:space="preserve">that being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impious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connexion,—in and</w:t>
        <w:br w:type="textWrapping"/>
        <w:t xml:space="preserve">under the condition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state,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which the other party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impure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whereas</w:t>
        <w:br w:type="textWrapping"/>
        <w:t xml:space="preserve">this is a connexion according to a pure</w:t>
        <w:br w:type="textWrapping"/>
        <w:t xml:space="preserve">and holy ordinance, by virtue of which,</w:t>
        <w:br w:type="textWrapping"/>
        <w:t xml:space="preserve">although the physical unity in both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the same,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purity overbears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wife... in the brother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his or 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sanctity is situated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in, rests 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else; 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since in that 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as understood,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alternative,—the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non-hallowing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would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A. V.,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because the supposed case is assumed</w:t>
        <w:br w:type="textWrapping"/>
        <w:t xml:space="preserve">and the ind. pres. used of 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its assumption.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</w:t>
        <w:br w:type="textWrapping"/>
        <w:t xml:space="preserve">above: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holy to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children being 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argu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built. This being so,—they being</w:t>
        <w:br w:type="textWrapping"/>
        <w:t xml:space="preserve">hallowed, because the children of Christians,—it follows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sprung, must as such have the</w:t>
        <w:br w:type="textWrapping"/>
        <w:t xml:space="preserve">same hallowed character; i. e.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insanctity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one parent is in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overborne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sanctity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other.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children of Christians, God’s</w:t>
        <w:br w:type="textWrapping"/>
        <w:t xml:space="preserve">spiritual people,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tacitly assumed</w:t>
        <w:br w:type="textWrapping"/>
        <w:t xml:space="preserve">as a matter of course, from the precedent of God’s ancient covenant people—</w:t>
        <w:br w:type="textWrapping"/>
        <w:t xml:space="preserve">With regard to the bearing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verse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subject of Infant Baptism,—it seems</w:t>
        <w:br w:type="textWrapping"/>
        <w:t xml:space="preserve">to me to 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further than this:</w:t>
        <w:br w:type="textWrapping"/>
        <w:t xml:space="preserve">that it establishes the so far, between Christian and Jewish children, as to</w:t>
        <w:br w:type="textWrapping"/>
        <w:t xml:space="preserve">shew, that if the initiatory rite of the old</w:t>
        <w:br w:type="textWrapping"/>
        <w:t xml:space="preserve">covenant was administered to the one,—</w:t>
        <w:br w:type="textWrapping"/>
        <w:t xml:space="preserve">that of the new covenant, in so far as it</w:t>
        <w:br w:type="textWrapping"/>
        <w:t xml:space="preserve">was regarded as corresponding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would probably as a matter of course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administered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other. Those who</w:t>
        <w:br w:type="textWrapping"/>
        <w:t xml:space="preserve">deny any such inference, forget, as it seems</w:t>
        <w:br w:type="textWrapping"/>
        <w:t xml:space="preserve">to me, that it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holiness</w:t>
        <w:br w:type="textWrapping"/>
        <w:t xml:space="preserve">which is here predicated of the children,</w:t>
        <w:br w:type="textWrapping"/>
        <w:t xml:space="preserve">any more than of the unbelieving husband</w:t>
        <w:br w:type="textWrapping"/>
        <w:t xml:space="preserve">or wife,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holiness of dedication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</w:t>
        <w:br w:type="textWrapping"/>
        <w:t xml:space="preserve">strict dependence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one dedicated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Notwithstanding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Christian</w:t>
        <w:br w:type="textWrapping"/>
        <w:t xml:space="preserve">child is individually born in sin and a child</w:t>
        <w:br w:type="textWrapping"/>
        <w:t xml:space="preserve">of wrath; and individually needs the washing of regeneration and the renewing of</w:t>
        <w:br w:type="textWrapping"/>
        <w:t xml:space="preserve">the Holy Ghost, just as much as the Jewish</w:t>
        <w:br w:type="textWrapping"/>
        <w:t xml:space="preserve">child needed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typical purifying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circumcision</w:t>
        <w:br w:type="textWrapping"/>
        <w:t xml:space="preserve">and the sacrificial atonements</w:t>
        <w:br w:type="textWrapping"/>
        <w:t xml:space="preserve">of the law. So that in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holiness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Christian child, there is nothing inconsistent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vc0n+6oteBUcJHTFe695bCwvTg==">CgMxLjA4AHIhMV9EdGFuaWFOcFlra3dXeDRRMVRSaUZaemsyR2VndE9S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