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accompanied by a description of the man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,—for thus the building up would be</w:t>
        <w:br w:type="textWrapping"/>
        <w:t xml:space="preserve">without solid foundation—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building up</w:t>
        <w:br w:type="textWrapping"/>
        <w:t xml:space="preserve">undo ruin,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Calvin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(thus) the weak perishes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ereafter: see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allel, Rom, xiv. 15 and</w:t>
        <w:br w:type="textWrapping"/>
        <w:t xml:space="preserve">note) by (literally, in,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</w:t>
        <w:br w:type="textWrapping"/>
        <w:t xml:space="preserve">in which,—he entering into it as his own,</w:t>
        <w:br w:type="textWrapping"/>
        <w:t xml:space="preserve">which it is not)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knowledge, — the</w:t>
        <w:br w:type="textWrapping"/>
        <w:t xml:space="preserve">brother, in whose behalf Christ died 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See again Rom. xiv. 15.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thus,</w:t>
        <w:br w:type="textWrapping"/>
        <w:t xml:space="preserve">viz. as described in wv. The and</w:t>
        <w:br w:type="textWrapping"/>
        <w:t xml:space="preserve">which follows fixes, and explains what is</w:t>
        <w:br w:type="textWrapping"/>
        <w:t xml:space="preserve">meant by sinning against the brethren.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smite. Chry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says, “ What can be more unfeeling</w:t>
        <w:br w:type="textWrapping"/>
        <w:t xml:space="preserve">than to smite one who is weak ?”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ervid expression of his own</w:t>
        <w:br w:type="textWrapping"/>
        <w:t xml:space="preserve">resolution consequent on these considera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tions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by way of an example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most general sense: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article of food, as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er. 8;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purposely indefinite here; ‘if such a matter</w:t>
        <w:br w:type="textWrapping"/>
        <w:t xml:space="preserve">ter as food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presently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rticularized.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meaning, in order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more certainly not to 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offered to an</w:t>
        <w:br w:type="textWrapping"/>
        <w:t xml:space="preserve">idol, I will abstain from every kind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lesh.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1—27.]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digressively illustrates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  <w:br w:type="textWrapping"/>
        <w:t xml:space="preserve">the spirit of self-denial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he professed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  <w:br w:type="textWrapping"/>
        <w:t xml:space="preserve">in the 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solution of ch.vii. 13,—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by contratsting his rights as an Apostle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                                   with his actual conduct in abstaining from                                   demanding them ((verses 1—22). This                                  self-denying conduct he further exemplifies,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verses 23—27,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their imitation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1.] He sets forth, (1) his inde</w:t>
        <w:br w:type="textWrapping"/>
        <w:t xml:space="preserve">pendence of men (contrast ver. 19); (2)</w:t>
        <w:br w:type="textWrapping"/>
        <w:t xml:space="preserve">his apostolic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(3)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dignity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</w:t>
        <w:br w:type="textWrapping"/>
        <w:t xml:space="preserve">Apostle, in having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vouchsafed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sight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Jesus our Lord ; (4)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efficiency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office, as having converted them to</w:t>
        <w:br w:type="textWrapping"/>
        <w:t xml:space="preserve">God.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that the resolution of ch. viii. 13 is not necessitated by</w:t>
        <w:br w:type="textWrapping"/>
        <w:t xml:space="preserve">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dependence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my part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opinion</w:t>
        <w:br w:type="textWrapping"/>
        <w:t xml:space="preserve">of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order of the clauses adopted</w:t>
        <w:br w:type="textWrapping"/>
        <w:t xml:space="preserve">in the Revised Text is that found in our</w:t>
        <w:br w:type="textWrapping"/>
        <w:t xml:space="preserve">most ancient authorities.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I not</w:t>
        <w:br w:type="textWrapping"/>
        <w:t xml:space="preserve">seen Jesus Carist our Lord?]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during</w:t>
        <w:br w:type="textWrapping"/>
        <w:t xml:space="preserve">the life of our Lord on earth, as some</w:t>
        <w:br w:type="textWrapping"/>
        <w:t xml:space="preserve">think, nor is such an idea supported by</w:t>
        <w:br w:type="textWrapping"/>
        <w:t xml:space="preserve">2 Cor. v. 16; see note there ;—but, in the.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Lord to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way</w:t>
        <w:br w:type="textWrapping"/>
        <w:t xml:space="preserve">to Damascus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(Acts ix. 17; ch. xv. 8); and</w:t>
        <w:br w:type="textWrapping"/>
        <w:t xml:space="preserve">also, secondarily, in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visions</w:t>
        <w:br w:type="textWrapping"/>
        <w:t xml:space="preserve">and appearances,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—recorded by him, Acts</w:t>
        <w:br w:type="textWrapping"/>
        <w:t xml:space="preserve">xviii 9 (?)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xxii.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17,—and possibly on</w:t>
        <w:br w:type="textWrapping"/>
        <w:t xml:space="preserve">other occasions since his conversion.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a mere humble qualification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my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God’s work,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),—but designates, as elsewhere,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element,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work is done: they</w:t>
        <w:br w:type="textWrapping"/>
        <w:t xml:space="preserve">were his work as an Apostle, i.e.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the</w:t>
        <w:br w:type="textWrapping"/>
        <w:t xml:space="preserve">servant of the Lord enabled by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iv. 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least my apostleship cannot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denied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men, who are its seal</w:t>
        <w:br w:type="textWrapping"/>
        <w:t xml:space="preserve">and proof.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seal]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being the</w:t>
        <w:br w:type="textWrapping"/>
        <w:t xml:space="preserve">proof of his apostolic calling and energy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M1N160mTsO1tTaaYNNgJaVy0Og==">CgMxLjA4AHIhMW9mQXhRaFBrNGJ0b1lVZGpIanFBU0MzWHltR1NoQ0Nv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