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But this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(viz.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what has gone before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respecting 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veiling of women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not as Chrysostom</w:t>
        <w:br w:type="textWrapping"/>
        <w:t xml:space="preserve">and others, that which follows: see below)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 command you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(not, 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announce to you,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  <w:br w:type="textWrapping"/>
        <w:t xml:space="preserve">nor 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declare to you from report,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 which are</w:t>
        <w:br w:type="textWrapping"/>
        <w:t xml:space="preserve">senses of the original word unknown to the</w:t>
        <w:br w:type="textWrapping"/>
        <w:t xml:space="preserve">New Test., where it only means 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to command,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’—to </w:t>
        <w:br w:type="textWrapping"/>
        <w:t xml:space="preserve">deliver 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by way of precept.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  <w:br w:type="textWrapping"/>
        <w:t xml:space="preserve">This makes it hardly possible to refer the</w:t>
        <w:br w:type="textWrapping"/>
        <w:t xml:space="preserve">word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what follows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for if so, some</w:t>
        <w:br w:type="textWrapping"/>
        <w:t xml:space="preserve">definite command should immediately succeed) 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not praising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(refers to the praise bestowed </w:t>
        <w:br w:type="textWrapping"/>
        <w:t xml:space="preserve">on them in v.2, and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excepts what has</w:t>
        <w:br w:type="textWrapping"/>
        <w:t xml:space="preserve">been said since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from that category) [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you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;</w:t>
        <w:br w:type="textWrapping"/>
        <w:t xml:space="preserve">because ye come together not for the better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(so that edification results)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, but for the</w:t>
        <w:br w:type="textWrapping"/>
        <w:t xml:space="preserve">worse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(so that propriety is violated, and</w:t>
        <w:br w:type="textWrapping"/>
        <w:t xml:space="preserve">the result is to the hindering of the faith),</w:t>
        <w:br w:type="textWrapping"/>
        <w:t xml:space="preserve">These last words are introduced with a</w:t>
        <w:br w:type="textWrapping"/>
        <w:t xml:space="preserve">manifest view to include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more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than the</w:t>
        <w:br w:type="textWrapping"/>
        <w:t xml:space="preserve">subject hitherto treated, and to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prepare</w:t>
        <w:br w:type="textWrapping"/>
        <w:t xml:space="preserve">the way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for other abuses of their assemblies </w:t>
        <w:br w:type="textWrapping"/>
        <w:t xml:space="preserve">to be noticed.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18.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in the first</w:t>
        <w:br w:type="textWrapping"/>
        <w:t xml:space="preserve">place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where is the second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particular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found, answering to this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first one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? Ordinarily, </w:t>
        <w:br w:type="textWrapping"/>
        <w:t xml:space="preserve">it is assumed that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schisms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are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first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abuse, the disorders in the Agapæ</w:t>
        <w:br w:type="textWrapping"/>
        <w:t xml:space="preserve">(love-feasts: beginning with ver. 20),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second.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But I am convinced that this</w:t>
        <w:br w:type="textWrapping"/>
        <w:t xml:space="preserve">view is wrong. For (1) neither special</w:t>
        <w:br w:type="textWrapping"/>
        <w:t xml:space="preserve">blame, nor correction of an abuse, is conveyed </w:t>
        <w:br w:type="textWrapping"/>
        <w:t xml:space="preserve">in vv. 18, 19: nor is it so much as</w:t>
        <w:br w:type="textWrapping"/>
        <w:t xml:space="preserve">intimated, on the ordinary hypothesis, what</w:t>
        <w:br w:type="textWrapping"/>
        <w:t xml:space="preserve">the character of these divisions was. And</w:t>
        <w:br w:type="textWrapping"/>
        <w:t xml:space="preserve">(2) the words of ver. 22,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shall I praise</w:t>
        <w:br w:type="textWrapping"/>
        <w:t xml:space="preserve">you in this? I praise you not,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plainly</w:t>
        <w:br w:type="textWrapping"/>
        <w:t xml:space="preserve">refer back to ver. 17, and shew that the</w:t>
        <w:br w:type="textWrapping"/>
        <w:t xml:space="preserve">whole is continuous. The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divisions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before</w:t>
        <w:br w:type="textWrapping"/>
        <w:t xml:space="preserve">the Apostle’s mind are,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specifically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those</w:t>
        <w:br w:type="textWrapping"/>
        <w:t xml:space="preserve">occurring at the Agapæ, but on the mention </w:t>
        <w:br w:type="textWrapping"/>
        <w:t xml:space="preserve">of them he breaks off to shew that</w:t>
        <w:br w:type="textWrapping"/>
        <w:t xml:space="preserve">such divisions were to be no matters of</w:t>
        <w:br w:type="textWrapping"/>
        <w:t xml:space="preserve">surprise, but were ordained to test them,</w:t>
        <w:br w:type="textWrapping"/>
        <w:t xml:space="preserve">—and in ver. 20 he returns with the very</w:t>
        <w:br w:type="textWrapping"/>
        <w:t xml:space="preserve">words,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when ye come together,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”–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to the</w:t>
        <w:br w:type="textWrapping"/>
        <w:t xml:space="preserve">immediate matter in hand, and treats it at</w:t>
        <w:br w:type="textWrapping"/>
        <w:t xml:space="preserve">length. See more on ver. 21, ff.—But the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question still remains, where is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second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point, answering to this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first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one? Again</w:t>
        <w:br w:type="textWrapping"/>
        <w:t xml:space="preserve">(with Meyer and Macknight) I answer,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ch. x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ii. 1.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ABUSE OF SPIRITUAL</w:t>
        <w:br w:type="textWrapping"/>
        <w:t xml:space="preserve">GIFTS,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which also created disorder in their</w:t>
        <w:br w:type="textWrapping"/>
        <w:t xml:space="preserve">assemblies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ch. xiv. 23 al., and concerning</w:t>
        <w:br w:type="textWrapping"/>
        <w:t xml:space="preserve">which he concludes, xiv. 40,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let all things</w:t>
        <w:br w:type="textWrapping"/>
        <w:t xml:space="preserve">be done decently and in order,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was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other point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before his mind, when he wrote</w:t>
        <w:br w:type="textWrapping"/>
        <w:t xml:space="preserve">this first. That he takes no notice in</w:t>
        <w:br w:type="textWrapping"/>
        <w:t xml:space="preserve">ch. xii. 1, by any word implying that it</w:t>
        <w:br w:type="textWrapping"/>
        <w:t xml:space="preserve">was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second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point, of what has gone</w:t>
        <w:br w:type="textWrapping"/>
        <w:t xml:space="preserve">before, will be no objection to the above</w:t>
        <w:br w:type="textWrapping"/>
        <w:t xml:space="preserve">view to any one who is acquainted with</w:t>
        <w:br w:type="textWrapping"/>
        <w:t xml:space="preserve">our Apostle’s style. 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assembly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not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local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A.V.,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the Church,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but equivalent </w:t>
        <w:br w:type="textWrapping"/>
        <w:t xml:space="preserve">to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one place,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ver. 20. In</w:t>
        <w:br w:type="textWrapping"/>
        <w:t xml:space="preserve">ver. 16, where the same word (ecclesia) was</w:t>
        <w:br w:type="textWrapping"/>
        <w:t xml:space="preserve">used of distinct bodies of Christians, it was</w:t>
        <w:br w:type="textWrapping"/>
        <w:t xml:space="preserve">not possible to keep the word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assemblies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</w:t>
        <w:br w:type="textWrapping"/>
        <w:t xml:space="preserve">but it should be done where the sense admits </w:t>
        <w:br w:type="textWrapping"/>
        <w:t xml:space="preserve">it, and it suits the matter in hand.</w:t>
        <w:br w:type="textWrapping"/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divisions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what sort, is specified</w:t>
        <w:br w:type="textWrapping"/>
        <w:t xml:space="preserve">below; viz. that he does not here refer to</w:t>
        <w:br w:type="textWrapping"/>
        <w:t xml:space="preserve">the party dissensions of ch. i. 10, nor could</w:t>
        <w:br w:type="textWrapping"/>
        <w:t xml:space="preserve">he say of them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 partly believe it,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but</w:t>
        <w:br w:type="textWrapping"/>
        <w:t xml:space="preserve">strictly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divisions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which took place at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their meetings together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viz. that each takes</w:t>
        <w:br w:type="textWrapping"/>
        <w:t xml:space="preserve">before other his own supper, &amp;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I partly believe it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Said in gentleness: </w:t>
        <w:br w:type="textWrapping"/>
        <w:t xml:space="preserve">as if it were, “I am unwilling to</w:t>
        <w:br w:type="textWrapping"/>
        <w:t xml:space="preserve">believe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 hear concerning the point, but,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some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 cannot help believing.” 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19.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there must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in the divine appointment, that,</w:t>
        <w:br w:type="textWrapping"/>
        <w:t xml:space="preserve">which follows expressing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God’s purpose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thereby. Our Lord had said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It must</w:t>
        <w:br w:type="textWrapping"/>
        <w:t xml:space="preserve">needs be, that offences come,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Matt. xviii.</w:t>
        <w:br w:type="textWrapping"/>
        <w:t xml:space="preserve">7: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Justin Martyr quotes among His</w:t>
        <w:br w:type="textWrapping"/>
        <w:t xml:space="preserve">sayings prophetic of division in the church,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there shall be divisions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schisms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and heresies.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</w:t>
        <w:br w:type="textWrapping"/>
        <w:t xml:space="preserve">From the pointed manner in which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there must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also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or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even be heresies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....</w:t>
        <w:br w:type="textWrapping"/>
        <w:t xml:space="preserve">is said, I should be inclined to think that</w:t>
        <w:br w:type="textWrapping"/>
        <w:t xml:space="preserve">the Apostle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tacitly referred to the same</w:t>
        <w:br w:type="textWrapping"/>
        <w:t xml:space="preserve">saying of our Lord: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for there must be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(not only dissensio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but)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even heresies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(not in the ecclesiastical or doctrinal sense,</w:t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VF8LNOgJeArMOQ1Cq2BHCvGKhQ==">CgMxLjA4AHIhMTlWN2VYc3BzaGRjeER3VExDa3BpcW1JbEpkNjJCei1o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