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in, and therefore come to the daily agap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 fed)?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must I say to you?</w:t>
        <w:br w:type="textWrapping"/>
        <w:t xml:space="preserve">shall I praise you in this matter? I</w:t>
        <w:br w:type="textWrapping"/>
        <w:t xml:space="preserve">praise you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17.)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shew them the solemnity</w:t>
        <w:br w:type="textWrapping"/>
        <w:t xml:space="preserve">of the ordinance which they thus set at</w:t>
        <w:br w:type="textWrapping"/>
        <w:t xml:space="preserve">nought,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reminds them of the account</w:t>
        <w:br w:type="textWrapping"/>
        <w:t xml:space="preserve">which he had before given them, of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INSTITUTION BY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</w:t>
        <w:br w:type="textWrapping"/>
        <w:t xml:space="preserve">xxvi.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29; Mark xiv.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25; Luke</w:t>
        <w:br w:type="textWrapping"/>
        <w:t xml:space="preserve">xxii. 19, 20.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</w:t>
        <w:br w:type="textWrapping"/>
        <w:t xml:space="preserve">emphasis on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from the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special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Gal. i.</w:t>
        <w:br w:type="textWrapping"/>
        <w:t xml:space="preserve">12. If the Apostle had referred only</w:t>
        <w:br w:type="textWrapping"/>
        <w:t xml:space="preserve">to the Evangelic tradition or writings(?) </w:t>
        <w:br w:type="textWrapping"/>
        <w:t xml:space="preserve">he would not have used the first</w:t>
        <w:br w:type="textWrapping"/>
        <w:t xml:space="preserve">person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singular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would have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received.” I may remark, that the similarity </w:t>
        <w:br w:type="textWrapping"/>
        <w:t xml:space="preserve">between this account of the Institution, </w:t>
        <w:br w:type="textWrapping"/>
        <w:t xml:space="preserve">and that in St. Luke’s Gospel, is only</w:t>
        <w:br w:type="textWrapping"/>
        <w:t xml:space="preserve">what might be expected on the supposition</w:t>
        <w:br w:type="textWrapping"/>
        <w:t xml:space="preserve">of a special revelation made to St. Paul,</w:t>
        <w:br w:type="textWrapping"/>
        <w:t xml:space="preserve">of which that Evangelist, being St. Paul’s</w:t>
        <w:br w:type="textWrapping"/>
        <w:t xml:space="preserve">companion, in certain parts of his history </w:t>
        <w:br w:type="textWrapping"/>
        <w:t xml:space="preserve">availed himself)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 also</w:t>
        <w:br w:type="textWrapping"/>
        <w:t xml:space="preserve">delivered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my apostolic testimony)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  <w:br w:type="textWrapping"/>
        <w:t xml:space="preserve">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Lord Jesus,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being betrayed.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an appearance of fixed</w:t>
        <w:br w:type="textWrapping"/>
        <w:t xml:space="preserve">order, especially in these opening words,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had already</w:t>
        <w:br w:type="textWrapping"/>
        <w:t xml:space="preserve">become a familiar formula.” Stanley.</w:t>
        <w:br w:type="textWrapping"/>
        <w:t xml:space="preserve">In the original there is no word inserted</w:t>
        <w:br w:type="textWrapping"/>
        <w:t xml:space="preserve">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Matt. xxvi. 26.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Luke xxii. 20.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  <w:br w:type="textWrapping"/>
        <w:t xml:space="preserve">the same 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viz., He took, and</w:t>
        <w:br w:type="textWrapping"/>
        <w:t xml:space="preserve">having given thanks, He gave to them.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cup is the new covenant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(ratified by the shedding of, and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its conditioning element)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blood.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oft as ye drink...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rule for all common meals</w:t>
        <w:br w:type="textWrapping"/>
        <w:t xml:space="preserve">of Christians; but a precept that as often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drunk, it should be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remembrance </w:t>
        <w:br w:type="textWrapping"/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on these last words</w:t>
        <w:br w:type="textWrapping"/>
        <w:t xml:space="preserve">is the emphasis: see below.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an explanatory reason for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remembrance of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viz. that</w:t>
        <w:br w:type="textWrapping"/>
        <w:t xml:space="preserve">the act of eating and drinking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proclamation </w:t>
        <w:br w:type="textWrapping"/>
        <w:t xml:space="preserve">of the Death of the Lord till His</w:t>
        <w:br w:type="textWrapping"/>
        <w:t xml:space="preserve">coming.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is substantiating the</w:t>
        <w:br w:type="textWrapping"/>
        <w:t xml:space="preserve">application of the Lord’s words by the</w:t>
        <w:br w:type="textWrapping"/>
        <w:t xml:space="preserve">acknowledged nature of the rite. It is</w:t>
        <w:br w:type="textWrapping"/>
        <w:t xml:space="preserve">a proclamation of His Death; and thus is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emembrance 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so, by our</w:t>
        <w:br w:type="textWrapping"/>
        <w:t xml:space="preserve">making mention of in it, and seeing visibly</w:t>
        <w:br w:type="textWrapping"/>
        <w:t xml:space="preserve">before us and partaking of,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broken, and His Blood 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till he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declare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addressed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directly to the Corinthians,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 and all succeeding Christians;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B+Chlu93pyzxwNYejWYr6ITvA==">CgMxLjA4AHIhMUlMOXhfTTZxWHJHU0pyaVZraUVMcW9TcWwyUXhvUkJu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