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reductio ad absurdum,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which has heen</w:t>
        <w:br w:type="textWrapping"/>
        <w:t xml:space="preserve">made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concrete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twice in ver. 17, is</w:t>
        <w:br w:type="textWrapping"/>
        <w:t xml:space="preserve">now made in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abstract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 whole</w:t>
        <w:br w:type="textWrapping"/>
        <w:t xml:space="preserve">were one member, where would be the</w:t>
        <w:br w:type="textWrapping"/>
        <w:t xml:space="preserve">body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 by its very idea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 many</w:t>
        <w:br w:type="textWrapping"/>
        <w:t xml:space="preserve">members,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 xx. 12, 14)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brings</w:t>
        <w:br w:type="textWrapping"/>
        <w:t xml:space="preserve">out the fact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contrast to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19, as</w:t>
        <w:br w:type="textWrapping"/>
        <w:t xml:space="preserve">ver. 18 in contrast to ver. 17.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21–26.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the spiritual gifts are</w:t>
        <w:br w:type="textWrapping"/>
        <w:t xml:space="preserve">also necessary to one another.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is</w:t>
        <w:br w:type="textWrapping"/>
        <w:t xml:space="preserve">spoken of in reproof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highly endowed,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who imagined they could do without</w:t>
        <w:br w:type="textWrapping"/>
        <w:t xml:space="preserve">those less gifted than themselves, as the</w:t>
        <w:br w:type="textWrapping"/>
        <w:t xml:space="preserve">preceding to those of small endowment,</w:t>
        <w:br w:type="textWrapping"/>
        <w:t xml:space="preserve">who were discontented with their gifts.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22, 23.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Nay, the relation between</w:t>
        <w:br w:type="textWrapping"/>
        <w:t xml:space="preserve">the members is so entirely different from</w:t>
        <w:br w:type="textWrapping"/>
        <w:t xml:space="preserve">this, that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very disparagement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conventionally, </w:t>
        <w:br w:type="textWrapping"/>
        <w:t xml:space="preserve">of any member,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</w:t>
        <w:br w:type="textWrapping"/>
        <w:t xml:space="preserve">why more care should be taken of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</w:t>
        <w:br w:type="textWrapping"/>
        <w:t xml:space="preserve">understand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members of the</w:t>
        <w:br w:type="textWrapping"/>
        <w:t xml:space="preserve">body which seem to be more feeble,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those</w:t>
        <w:br w:type="textWrapping"/>
        <w:t xml:space="preserve">members which in each man’s case appear</w:t>
        <w:br w:type="textWrapping"/>
        <w:t xml:space="preserve">to be inheritors of disease, or to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incurred weakness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very fact,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their 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ecessity 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brought out much</w:t>
        <w:br w:type="textWrapping"/>
        <w:t xml:space="preserve">more than that of the others.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So also in the case of the parts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we</w:t>
        <w:br w:type="textWrapping"/>
        <w:t xml:space="preserve">think to be less honourable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usage has set the stamp of dishonour.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 he alludes (as distinguished from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uncomely parts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below) to those limbs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we conceal from sight in accordance</w:t>
        <w:br w:type="textWrapping"/>
        <w:t xml:space="preserve">with custom, but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exposure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</w:t>
        <w:br w:type="textWrapping"/>
        <w:t xml:space="preserve">there would be no absolute indecency. So</w:t>
        <w:br w:type="textWrapping"/>
        <w:t xml:space="preserve">Chrysostom, “He says well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seem,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we think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(but I should draw</w:t>
        <w:br w:type="textWrapping"/>
        <w:t xml:space="preserve">a distinction between the two, in accordance</w:t>
        <w:br w:type="textWrapping"/>
        <w:t xml:space="preserve">with the above explanation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weaker</w:t>
        <w:br w:type="textWrapping"/>
        <w:t xml:space="preserve">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render the one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seem to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[of 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other,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we</w:t>
        <w:br w:type="textWrapping"/>
        <w:t xml:space="preserve">think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[conventionally], on which see Acts</w:t>
        <w:br w:type="textWrapping"/>
        <w:t xml:space="preserve">xvi. 20, note), shewing that this verdict is</w:t>
        <w:br w:type="textWrapping"/>
        <w:t xml:space="preserve">given, not by the nature of things, but by</w:t>
        <w:br w:type="textWrapping"/>
        <w:t xml:space="preserve">public opinion.”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bestow more</w:t>
        <w:br w:type="textWrapping"/>
        <w:t xml:space="preserve">abundant hono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clothing: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honouring </w:t>
        <w:br w:type="textWrapping"/>
        <w:t xml:space="preserve">them more than the face, the noblest</w:t>
        <w:br w:type="textWrapping"/>
        <w:t xml:space="preserve">part, which we do not clothe.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uncomely 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qualifi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</w:t>
        <w:br w:type="textWrapping"/>
        <w:t xml:space="preserve">such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seem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we think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 ambiguity. Chrysostom says,</w:t>
        <w:br w:type="textWrapping"/>
        <w:t xml:space="preserve">“These parts enjoy more honour: for even</w:t>
        <w:br w:type="textWrapping"/>
        <w:t xml:space="preserve">the miserably poor, if compelled to go with</w:t>
        <w:br w:type="textWrapping"/>
        <w:t xml:space="preserve">the rest of their body naked, will not</w:t>
        <w:br w:type="textWrapping"/>
        <w:t xml:space="preserve">endure to shew these parts unclothed.”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parts are in some</w:t>
        <w:br w:type="textWrapping"/>
        <w:t xml:space="preserve">measure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neglected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needing to be</w:t>
        <w:br w:type="textWrapping"/>
        <w:t xml:space="preserve">covered or adorned: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 the</w:t>
        <w:br w:type="textWrapping"/>
        <w:t xml:space="preserve">creation)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tempered the body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(compounded it of members on a principle</w:t>
        <w:br w:type="textWrapping"/>
        <w:t xml:space="preserve">of mutual compensation),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deficient</w:t>
        <w:br w:type="textWrapping"/>
        <w:t xml:space="preserve">part giving more abundant honour.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there be no disunion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21)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body, but that the members may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gNSQQq37AZqb5N1akJP6JArQA==">CgMxLjA4AHIhMXhDQWh5UVRFYzRaczR2VVVsOE9iTXdTTW44cWpHSnlT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