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piped, or harped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observation of</w:t>
        <w:br w:type="textWrapping"/>
        <w:t xml:space="preserve">Meyer, that this example is decisive against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foreign languages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spoken in the</w:t>
        <w:br w:type="textWrapping"/>
        <w:t xml:space="preserve">exercise of this gift, is shewn to be irrelevant </w:t>
        <w:br w:type="textWrapping"/>
        <w:t xml:space="preserve">by the next example, from which</w:t>
        <w:br w:type="textWrapping"/>
        <w:t xml:space="preserve">the contrary might be argued—the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uncertain </w:t>
        <w:br w:type="textWrapping"/>
        <w:t xml:space="preserve">sound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trumpet being exactly</w:t>
        <w:br w:type="textWrapping"/>
        <w:t xml:space="preserve">analogous to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unknown language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to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inarticulate sound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 fact is</w:t>
        <w:br w:type="textWrapping"/>
        <w:t xml:space="preserve">that all such inferences, from pressing</w:t>
        <w:br w:type="textWrapping"/>
        <w:t xml:space="preserve">analogies close, are insecure.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its meaning: for a particular</w:t>
        <w:br w:type="textWrapping"/>
        <w:t xml:space="preserve">succession of notes of the trumpet then,</w:t>
        <w:br w:type="textWrapping"/>
        <w:t xml:space="preserve">as now, gave the signals for attack, and</w:t>
        <w:br w:type="textWrapping"/>
        <w:t xml:space="preserve">retreat, and the various evolutions of an</w:t>
        <w:br w:type="textWrapping"/>
        <w:t xml:space="preserve">army.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Application of these instances.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most naturally</w:t>
        <w:br w:type="textWrapping"/>
        <w:t xml:space="preserve">understood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physically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means of your</w:t>
        <w:br w:type="textWrapping"/>
        <w:t xml:space="preserve">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answering to the utterance</w:t>
        <w:br w:type="textWrapping"/>
        <w:t xml:space="preserve">of the sound by the musical instruments.</w:t>
        <w:br w:type="textWrapping"/>
        <w:t xml:space="preserve">But the technical rendering,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means of</w:t>
        <w:br w:type="textWrapping"/>
        <w:t xml:space="preserve">the (unknown) tongue,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allowable.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speaking into the 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non-reception </w:t>
        <w:br w:type="textWrapping"/>
        <w:t xml:space="preserve">by hearers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what is said.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10, 11.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example of the unprofitableness </w:t>
        <w:br w:type="textWrapping"/>
        <w:t xml:space="preserve">of an utterance not understood.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may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so 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this latter term representing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fixed number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not assignable by</w:t>
        <w:br w:type="textWrapping"/>
        <w:t xml:space="preserve">the information which the writer possesses,</w:t>
        <w:br w:type="textWrapping"/>
        <w:t xml:space="preserve">or not worth assigning. See similar 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pressions, </w:t>
        <w:br w:type="textWrapping"/>
        <w:t xml:space="preserve">Acts v. 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2 Sam. xii. 8.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kinds of 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  <w:br w:type="textWrapping"/>
        <w:t xml:space="preserve">The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tongues, is</w:t>
        <w:br w:type="textWrapping"/>
        <w:t xml:space="preserve">no doubt intentional, to avoid confusion,</w:t>
        <w:br w:type="textWrapping"/>
        <w:t xml:space="preserve">the word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tongue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for the most part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in this passage in a peculiar meaning:</w:t>
        <w:br w:type="textWrapping"/>
        <w:t xml:space="preserve">but no argument can be grounded on it</w:t>
        <w:br w:type="textWrapping"/>
        <w:t xml:space="preserve">as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languages or not.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none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kind of</w:t>
        <w:br w:type="textWrapping"/>
        <w:t xml:space="preserve">voice.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without signification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inarticulate.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none is without meaning: for if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imputations following would not be just.</w:t>
        <w:br w:type="textWrapping"/>
        <w:t xml:space="preserve">We assume that a tongue which we do not</w:t>
        <w:br w:type="textWrapping"/>
        <w:t xml:space="preserve">understand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meaning,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it is</w:t>
        <w:br w:type="textWrapping"/>
        <w:t xml:space="preserve">the way of expression of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foreign</w:t>
        <w:br w:type="textWrapping"/>
        <w:t xml:space="preserve">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barbarian,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foreigner,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sense of one who is ignorant of the</w:t>
        <w:br w:type="textWrapping"/>
        <w:t xml:space="preserve">speech and habits of a people.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of the analogy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ver.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evidently meant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9, but is rendered somewhat difficult</w:t>
        <w:br w:type="textWrapping"/>
        <w:t xml:space="preserve">by the change of the construction into a</w:t>
        <w:br w:type="textWrapping"/>
        <w:t xml:space="preserve">direct exhortation. It is best therefore to</w:t>
        <w:br w:type="textWrapping"/>
        <w:t xml:space="preserve">give to it the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lesson conveyed </w:t>
        <w:br w:type="textWrapping"/>
        <w:t xml:space="preserve">by this example.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 likewise</w:t>
        <w:br w:type="textWrapping"/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after the example of people who</w:t>
        <w:br w:type="textWrapping"/>
        <w:t xml:space="preserve">would not wish to be barbarians to one</w:t>
        <w:br w:type="textWrapping"/>
        <w:t xml:space="preserve">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avoiding the absurdity just mentioned),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emulous as ye are of spiritual</w:t>
        <w:br w:type="textWrapping"/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(reff.)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ek them to the edifying of</w:t>
        <w:br w:type="textWrapping"/>
        <w:t xml:space="preserve">the church, that ye may abound: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JXrjf7GEHM+SOtClufXfXsiOA==">CgMxLjA4AHIhMVB4UEVZeVFCMHdOSHBzUlo2NjczUnBKMzFsaTB6c1g0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