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will with divine Grace, but in subordination, </w:t>
        <w:br w:type="textWrapping"/>
        <w:t xml:space="preserve">see Matt. x. 20; 2 Cor. v. 20; vi. 1,</w:t>
        <w:br w:type="textWrapping"/>
        <w:t xml:space="preserve">and ch. iii. 9, note.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resumes</w:t>
        <w:br w:type="textWrapping"/>
        <w:t xml:space="preserve">the subject after the digression respecting</w:t>
        <w:br w:type="textWrapping"/>
        <w:t xml:space="preserve">himself:—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matters not whether it were</w:t>
        <w:br w:type="textWrapping"/>
        <w:t xml:space="preserve">I or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other Apostles)—SUCH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the purport of our preaching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—SUCH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your belief:—so, after this manner,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viz.,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Christ died, was buried, and rose</w:t>
        <w:br w:type="textWrapping"/>
        <w:t xml:space="preserve">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verses 3, 4.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12–19.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 fact of Christ's Resurrection, </w:t>
        <w:br w:type="textWrapping"/>
        <w:t xml:space="preserve">announced in his preaching, and</w:t>
        <w:br w:type="textWrapping"/>
        <w:t xml:space="preserve">confessed in their belief, he grounds (negatively) </w:t>
        <w:br w:type="textWrapping"/>
        <w:t xml:space="preserve">the truth of the general Resurrection:</w:t>
        <w:br w:type="textWrapping"/>
        <w:t xml:space="preserve">—If the latter be not to happen, neither </w:t>
        <w:br w:type="textWrapping"/>
        <w:t xml:space="preserve">has the former happened:—and he</w:t>
        <w:br w:type="textWrapping"/>
        <w:t xml:space="preserve">urges the results of such a disproof of</w:t>
        <w:br w:type="textWrapping"/>
        <w:t xml:space="preserve">Christ's Resurrection.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introduces the argument for the resurrection,</w:t>
        <w:br w:type="textWrapping"/>
        <w:t xml:space="preserve">by referring to its denial among a portion</w:t>
        <w:br w:type="textWrapping"/>
        <w:t xml:space="preserve">ot the Corinthian church.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belongs</w:t>
        <w:br w:type="textWrapping"/>
        <w:t xml:space="preserve">to the whole question, and is opposed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we preach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 ye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</w:t>
        <w:br w:type="textWrapping"/>
        <w:t xml:space="preserve">the foregoing verse.—The word Christ has</w:t>
        <w:br w:type="textWrapping"/>
        <w:t xml:space="preserve">the leading emphasis, as an example of</w:t>
        <w:br w:type="textWrapping"/>
        <w:t xml:space="preserve">that which is denied by some among you: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CHRIST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subjunctive,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</w:t>
        <w:br w:type="textWrapping"/>
        <w:t xml:space="preserve">preached: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is arguing from a matter of</w:t>
        <w:br w:type="textWrapping"/>
        <w:t xml:space="preserve">fact, not from a mere hypothesis)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preached</w:t>
        <w:br w:type="textWrapping"/>
        <w:t xml:space="preserve">that He is risen from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(if an</w:t>
        <w:br w:type="textWrapping"/>
        <w:t xml:space="preserve">instance of such resurrection is a fact announced </w:t>
        <w:br w:type="textWrapping"/>
        <w:t xml:space="preserve">in our preaching),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how say some</w:t>
        <w:br w:type="textWrapping"/>
        <w:t xml:space="preserve">among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(how comes it to pass that some</w:t>
        <w:br w:type="textWrapping"/>
        <w:t xml:space="preserve">say)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a resurrection of the dead</w:t>
        <w:br w:type="textWrapping"/>
        <w:t xml:space="preserve">does not exist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(stress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reading</w:t>
        <w:br w:type="textWrapping"/>
        <w:t xml:space="preserve">the English text)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species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conceded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how is it that some among you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genus?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among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It is an interesting question,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</w:t>
        <w:br w:type="textWrapping"/>
        <w:t xml:space="preserve">some were: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one which can only be</w:t>
        <w:br w:type="textWrapping"/>
        <w:t xml:space="preserve">answered by the indications which the argument </w:t>
        <w:br w:type="textWrapping"/>
        <w:t xml:space="preserve">in this chapter furnishes. (1)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</w:t>
        <w:br w:type="textWrapping"/>
        <w:t xml:space="preserve">they Sadducees?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If so, the Apostle would</w:t>
        <w:br w:type="textWrapping"/>
        <w:t xml:space="preserve">hardly have begun his argument with the</w:t>
        <w:br w:type="textWrapping"/>
        <w:t xml:space="preserve">fact of the Resurrection of Jesus. And yet</w:t>
        <w:br w:type="textWrapping"/>
        <w:t xml:space="preserve">we must remember that he is arguing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the deniers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with those who being</w:t>
        <w:br w:type="textWrapping"/>
        <w:t xml:space="preserve">as yet sound, were liable to be misled by</w:t>
        <w:br w:type="textWrapping"/>
        <w:t xml:space="preserve">them. But the opposition between Sadduceism </w:t>
        <w:br w:type="textWrapping"/>
        <w:t xml:space="preserve">and Christianity was so complete, that</w:t>
        <w:br w:type="textWrapping"/>
        <w:t xml:space="preserve">we have little reason to think that any leaven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Sadducees ever found its way into</w:t>
        <w:br w:type="textWrapping"/>
        <w:t xml:space="preserve">the church.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they Epicureans?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Probably not, for two reasons: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</w:t>
        <w:br w:type="textWrapping"/>
        <w:t xml:space="preserve">Epicurean maxim, “ Let us eat and drink,”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is represented as a legitimate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adopting their denial of the resurrection, </w:t>
        <w:br w:type="textWrapping"/>
        <w:t xml:space="preserve">not as an accompaniment of,</w:t>
        <w:br w:type="textWrapping"/>
        <w:t xml:space="preserve">much less as the ground of it: and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had</w:t>
        <w:br w:type="textWrapping"/>
        <w:t xml:space="preserve">the Epicurean element entered to any extent</w:t>
        <w:br w:type="textWrapping"/>
        <w:t xml:space="preserve">into the Corinthian church, we certainly</w:t>
        <w:br w:type="textWrapping"/>
        <w:t xml:space="preserve">should have had more notice of its exceedingly </w:t>
        <w:br w:type="textWrapping"/>
        <w:t xml:space="preserve">antichristian tenets. It is possible</w:t>
        <w:br w:type="textWrapping"/>
        <w:t xml:space="preserve">that the deniers may have been, or been in</w:t>
        <w:br w:type="textWrapping"/>
        <w:t xml:space="preserve">danger of being,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corrupted by mixture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Epicureans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the warning of</w:t>
        <w:br w:type="textWrapping"/>
        <w:t xml:space="preserve">ver. 33. 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they Jews?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not Sadducees, </w:t>
        <w:br w:type="textWrapping"/>
        <w:t xml:space="preserve">hardly Jews at all, or Judaizers: a</w:t>
        <w:br w:type="textWrapping"/>
        <w:t xml:space="preserve">strong tenet of Pharisaism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Resurrection, see Acts xxiii. 6: and</w:t>
        <w:br w:type="textWrapping"/>
        <w:t xml:space="preserve">we know of no tendency of Essenism which</w:t>
        <w:br w:type="textWrapping"/>
        <w:t xml:space="preserve">should produce such a denial. (4) They</w:t>
        <w:br w:type="textWrapping"/>
        <w:t xml:space="preserve">must then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inheriting </w:t>
        <w:br w:type="textWrapping"/>
        <w:t xml:space="preserve">the unwillingness of the Greek mind</w:t>
        <w:br w:type="textWrapping"/>
        <w:t xml:space="preserve">to receive that of which a full account could</w:t>
        <w:br w:type="textWrapping"/>
        <w:t xml:space="preserve">not be given, see vv. 35, 36: and probably</w:t>
        <w:br w:type="textWrapping"/>
        <w:t xml:space="preserve">of a philosophical and cavilling turn. Meyer</w:t>
        <w:br w:type="textWrapping"/>
        <w:t xml:space="preserve">argues, from the antimaterialistic turn of the</w:t>
        <w:br w:type="textWrapping"/>
        <w:t xml:space="preserve">Apostle’s counter-arguments, vv. 35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objections were antimaterialisti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also: De Wette infers the very opposite,</w:t>
        <w:br w:type="textWrapping"/>
        <w:t xml:space="preserve">which certainly seems to me more probable.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</w:t>
        <w:br w:type="textWrapping"/>
        <w:t xml:space="preserve">trace whatever is found in the</w:t>
        <w:br w:type="textWrapping"/>
        <w:t xml:space="preserve">argument of 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allegorizing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in</w:t>
        <w:br w:type="textWrapping"/>
        <w:t xml:space="preserve">the opponents, as was that of Hymenzus</w:t>
        <w:br w:type="textWrapping"/>
        <w:t xml:space="preserve">and Philetus, who maintained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esurrection was past already, 2 Tim. ii.</w:t>
        <w:br w:type="textWrapping"/>
        <w:t xml:space="preserve">17, 18, as some suppose.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the</w:t>
        <w:br w:type="textWrapping"/>
        <w:t xml:space="preserve">Apostle regarded the resurrection of the</w:t>
        <w:br w:type="textWrapping"/>
        <w:t xml:space="preserve">body as inseparably bound up with a future</w:t>
        <w:br w:type="textWrapping"/>
        <w:t xml:space="preserve">existence of the soul does not very clearly</w:t>
        <w:br w:type="textWrapping"/>
        <w:t xml:space="preserve">appear in this chapter. From the use of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perished,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18, which must</w:t>
        <w:br w:type="textWrapping"/>
        <w:t xml:space="preserve">refer, not to annihilation,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it would seem that he admitted an</w:t>
        <w:br w:type="textWrapping"/>
        <w:t xml:space="preserve">independent existence of the soul; as also</w:t>
        <w:br w:type="textWrapping"/>
        <w:t xml:space="preserve">from Phil. i. 23. But from ver. 32, it would</w:t>
        <w:br w:type="textWrapping"/>
        <w:t xml:space="preserve">seem that the Apostle regarded the denial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involving that of the</w:t>
        <w:br w:type="textWrapping"/>
        <w:t xml:space="preserve">future state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judgment.—On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 </w:t>
        <w:br w:type="textWrapping"/>
        <w:t xml:space="preserve">to which of the (supposed) Corinthian</w:t>
        <w:br w:type="textWrapping"/>
        <w:t xml:space="preserve">parties the opponents belonged, I have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DfGqt7hsKljh7YnfjoUwcGoGQg==">CgMxLjA4AHIhMXRPXzFNOGxkYjNZaXVhYmF4LWpzb2Z6OWZLTFUzOUtS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